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/>
      </w:pPr>
      <w:r w:rsidDel="00000000" w:rsidR="00000000" w:rsidRPr="00000000">
        <w:rPr>
          <w:rtl w:val="0"/>
        </w:rPr>
      </w:r>
    </w:p>
    <w:sdt>
      <w:sdtPr>
        <w:lock w:val="contentLocked"/>
        <w:id w:val="-1370656361"/>
        <w:tag w:val="goog_rdk_4"/>
      </w:sdtPr>
      <w:sdtContent>
        <w:tbl>
          <w:tblPr>
            <w:tblStyle w:val="Table1"/>
            <w:tblW w:w="9052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52"/>
            <w:tblGridChange w:id="0">
              <w:tblGrid>
                <w:gridCol w:w="9052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3">
                <w:pPr>
                  <w:widowControl w:val="0"/>
                  <w:spacing w:line="240" w:lineRule="auto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4">
                <w:pPr>
                  <w:jc w:val="center"/>
                  <w:rPr>
                    <w:b w:val="1"/>
                    <w:sz w:val="32"/>
                    <w:szCs w:val="32"/>
                  </w:rPr>
                </w:pPr>
                <w:r w:rsidDel="00000000" w:rsidR="00000000" w:rsidRPr="00000000">
                  <w:rPr>
                    <w:b w:val="1"/>
                    <w:sz w:val="26"/>
                    <w:szCs w:val="26"/>
                    <w:rtl w:val="0"/>
                  </w:rPr>
                  <w:t xml:space="preserve">The EU-LAC Digital Accelerator launches open call #4 for European, Latin American and Caribbean corporate-startup partnerships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5">
                <w:pPr>
                  <w:jc w:val="center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6">
                <w:pPr>
                  <w:numPr>
                    <w:ilvl w:val="0"/>
                    <w:numId w:val="1"/>
                  </w:numPr>
                  <w:ind w:left="720" w:hanging="360"/>
                  <w:jc w:val="both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The EU-LAC Digital Accelerator invites partnerships to apply to its open call #4. Partnerships should involve a corporate entity seeking to address a digital challenge and a startup or SME developing a solution to address this challenge.</w:t>
                  <w:br w:type="textWrapping"/>
                </w:r>
              </w:p>
              <w:p w:rsidR="00000000" w:rsidDel="00000000" w:rsidP="00000000" w:rsidRDefault="00000000" w:rsidRPr="00000000" w14:paraId="00000007">
                <w:pPr>
                  <w:numPr>
                    <w:ilvl w:val="0"/>
                    <w:numId w:val="1"/>
                  </w:numPr>
                  <w:ind w:left="720" w:hanging="360"/>
                  <w:jc w:val="both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For open call #4, the EU-LAC Digital Accelerator opens a new opportunity area: </w:t>
                </w:r>
                <w:r w:rsidDel="00000000" w:rsidR="00000000" w:rsidRPr="00000000">
                  <w:rPr>
                    <w:b w:val="1"/>
                    <w:i w:val="1"/>
                    <w:rtl w:val="0"/>
                  </w:rPr>
                  <w:t xml:space="preserve">e-services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. However, applications from all industries and digital specialisations are welcome.</w:t>
                  <w:br w:type="textWrapping"/>
                </w:r>
              </w:p>
              <w:p w:rsidR="00000000" w:rsidDel="00000000" w:rsidP="00000000" w:rsidRDefault="00000000" w:rsidRPr="00000000" w14:paraId="00000008">
                <w:pPr>
                  <w:numPr>
                    <w:ilvl w:val="0"/>
                    <w:numId w:val="2"/>
                  </w:numPr>
                  <w:ind w:left="720" w:hanging="360"/>
                  <w:jc w:val="both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EU-LAC partnerships must include at least one corporate and one startup from two of the following regions: the </w:t>
                </w:r>
                <w:r w:rsidDel="00000000" w:rsidR="00000000" w:rsidRPr="00000000">
                  <w:rPr>
                    <w:b w:val="1"/>
                    <w:i w:val="1"/>
                    <w:rtl w:val="0"/>
                  </w:rPr>
                  <w:t xml:space="preserve">European Union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, </w:t>
                </w:r>
                <w:r w:rsidDel="00000000" w:rsidR="00000000" w:rsidRPr="00000000">
                  <w:rPr>
                    <w:b w:val="1"/>
                    <w:i w:val="1"/>
                    <w:rtl w:val="0"/>
                  </w:rPr>
                  <w:t xml:space="preserve">Latin America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, and the </w:t>
                </w:r>
                <w:r w:rsidDel="00000000" w:rsidR="00000000" w:rsidRPr="00000000">
                  <w:rPr>
                    <w:b w:val="1"/>
                    <w:i w:val="1"/>
                    <w:rtl w:val="0"/>
                  </w:rPr>
                  <w:t xml:space="preserve">Caribbean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. </w:t>
                  <w:br w:type="textWrapping"/>
                </w:r>
              </w:p>
              <w:p w:rsidR="00000000" w:rsidDel="00000000" w:rsidP="00000000" w:rsidRDefault="00000000" w:rsidRPr="00000000" w14:paraId="00000009">
                <w:pPr>
                  <w:numPr>
                    <w:ilvl w:val="0"/>
                    <w:numId w:val="2"/>
                  </w:numPr>
                  <w:ind w:left="720" w:hanging="360"/>
                  <w:jc w:val="both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Selected candidates will receive acceleration services valued at up to €30,000 (€40,000 if a Caribbean partner is involved) and gathered around three pillars: proof of concept, business case, and investment and scaling.</w:t>
                </w:r>
              </w:p>
              <w:p w:rsidR="00000000" w:rsidDel="00000000" w:rsidP="00000000" w:rsidRDefault="00000000" w:rsidRPr="00000000" w14:paraId="0000000A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B">
                <w:pPr>
                  <w:jc w:val="both"/>
                  <w:rPr>
                    <w:b w:val="1"/>
                    <w:sz w:val="24"/>
                    <w:szCs w:val="24"/>
                  </w:rPr>
                </w:pPr>
                <w:r w:rsidDel="00000000" w:rsidR="00000000" w:rsidRPr="00000000">
                  <w:rPr>
                    <w:b w:val="1"/>
                    <w:sz w:val="24"/>
                    <w:szCs w:val="24"/>
                    <w:rtl w:val="0"/>
                  </w:rPr>
                  <w:t xml:space="preserve">Working on making corporate-startup partnerships true love stories</w:t>
                </w:r>
              </w:p>
              <w:p w:rsidR="00000000" w:rsidDel="00000000" w:rsidP="00000000" w:rsidRDefault="00000000" w:rsidRPr="00000000" w14:paraId="0000000C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D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Following the </w:t>
                </w:r>
                <w:hyperlink r:id="rId7">
                  <w:r w:rsidDel="00000000" w:rsidR="00000000" w:rsidRPr="00000000">
                    <w:rPr>
                      <w:color w:val="1155cc"/>
                      <w:u w:val="single"/>
                      <w:rtl w:val="0"/>
                    </w:rPr>
                    <w:t xml:space="preserve">MIT Sloane Management Review</w:t>
                  </w:r>
                </w:hyperlink>
                <w:r w:rsidDel="00000000" w:rsidR="00000000" w:rsidRPr="00000000">
                  <w:rPr>
                    <w:rtl w:val="0"/>
                  </w:rPr>
                  <w:t xml:space="preserve">, it is estimated that 7 corporate-startup collaborations fail to reach the expected results. Misaligned cultures and objectives, the startup’s solution being unable to fit into the corporate’s IT environment, no product validation before scaling, etc. A huge number of factors can explain this dramatically high failure rate.</w:t>
                </w:r>
              </w:p>
              <w:p w:rsidR="00000000" w:rsidDel="00000000" w:rsidP="00000000" w:rsidRDefault="00000000" w:rsidRPr="00000000" w14:paraId="0000000E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F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Through a dedicated corporate-startup acceleration programme, the EU-LAC Digital Accelerator supports cross-border partnerships between Europe, Latin America, and the Caribbean in reaching their innovation goals. </w:t>
                </w:r>
              </w:p>
              <w:p w:rsidR="00000000" w:rsidDel="00000000" w:rsidP="00000000" w:rsidRDefault="00000000" w:rsidRPr="00000000" w14:paraId="00000010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sdt>
                <w:sdtPr>
                  <w:lock w:val="contentLocked"/>
                  <w:id w:val="-157939211"/>
                  <w:tag w:val="goog_rdk_0"/>
                </w:sdtPr>
                <w:sdtContent>
                  <w:tbl>
                    <w:tblPr>
                      <w:tblStyle w:val="Table2"/>
                      <w:tblW w:w="8852.0" w:type="dxa"/>
                      <w:jc w:val="left"/>
                      <w:tblBorders>
                        <w:top w:color="000000" w:space="0" w:sz="8" w:val="single"/>
                        <w:left w:color="000000" w:space="0" w:sz="8" w:val="single"/>
                        <w:bottom w:color="000000" w:space="0" w:sz="8" w:val="single"/>
                        <w:right w:color="000000" w:space="0" w:sz="8" w:val="single"/>
                        <w:insideH w:color="000000" w:space="0" w:sz="8" w:val="single"/>
                        <w:insideV w:color="000000" w:space="0" w:sz="8" w:val="single"/>
                      </w:tblBorders>
                      <w:tblLayout w:type="fixed"/>
                      <w:tblLook w:val="0600"/>
                    </w:tblPr>
                    <w:tblGrid>
                      <w:gridCol w:w="8852"/>
                      <w:tblGridChange w:id="0">
                        <w:tblGrid>
                          <w:gridCol w:w="8852"/>
                        </w:tblGrid>
                      </w:tblGridChange>
                    </w:tblGrid>
                    <w:tr>
                      <w:trPr>
                        <w:cantSplit w:val="0"/>
                        <w:trHeight w:val="1697.87109375" w:hRule="atLeast"/>
                        <w:tblHeader w:val="0"/>
                      </w:trPr>
                      <w:tc>
                        <w:tcPr>
                          <w:shd w:fill="auto" w:val="clear"/>
                          <w:tcMar>
                            <w:top w:w="100.0" w:type="dxa"/>
                            <w:left w:w="100.0" w:type="dxa"/>
                            <w:bottom w:w="100.0" w:type="dxa"/>
                            <w:right w:w="100.0" w:type="dxa"/>
                          </w:tcMar>
                          <w:vAlign w:val="top"/>
                        </w:tcPr>
                        <w:p w:rsidR="00000000" w:rsidDel="00000000" w:rsidP="00000000" w:rsidRDefault="00000000" w:rsidRPr="00000000" w14:paraId="00000011">
                          <w:pPr>
                            <w:widowControl w:val="0"/>
                            <w:spacing w:line="240" w:lineRule="auto"/>
                            <w:rPr/>
                          </w:pPr>
                          <w:r w:rsidDel="00000000" w:rsidR="00000000" w:rsidRPr="00000000">
                            <w:rPr>
                              <w:rtl w:val="0"/>
                            </w:rPr>
                            <w:t xml:space="preserve">“</w:t>
                          </w:r>
                          <w:r w:rsidDel="00000000" w:rsidR="00000000" w:rsidRPr="00000000">
                            <w:rPr>
                              <w:i w:val="1"/>
                              <w:rtl w:val="0"/>
                            </w:rPr>
                            <w:t xml:space="preserve">Startups allow corporates to explore innovative solutions to their unsolved needs and problems. They provide unique insights not previously considered or tested. It ultimately has a real impact on the profit and loss statement, generating new revenue streams or saving costs.</w:t>
                          </w:r>
                          <w:r w:rsidDel="00000000" w:rsidR="00000000" w:rsidRPr="00000000">
                            <w:rPr>
                              <w:rtl w:val="0"/>
                            </w:rPr>
                            <w:t xml:space="preserve">”</w:t>
                          </w:r>
                        </w:p>
                        <w:p w:rsidR="00000000" w:rsidDel="00000000" w:rsidP="00000000" w:rsidRDefault="00000000" w:rsidRPr="00000000" w14:paraId="00000012">
                          <w:pPr>
                            <w:widowControl w:val="0"/>
                            <w:spacing w:line="240" w:lineRule="auto"/>
                            <w:rPr/>
                          </w:pPr>
                          <w:r w:rsidDel="00000000" w:rsidR="00000000" w:rsidRPr="00000000">
                            <w:rPr>
                              <w:rtl w:val="0"/>
                            </w:rPr>
                          </w:r>
                        </w:p>
                        <w:p w:rsidR="00000000" w:rsidDel="00000000" w:rsidP="00000000" w:rsidRDefault="00000000" w:rsidRPr="00000000" w14:paraId="00000013">
                          <w:pPr>
                            <w:widowControl w:val="0"/>
                            <w:spacing w:line="240" w:lineRule="auto"/>
                            <w:rPr/>
                          </w:pPr>
                          <w:r w:rsidDel="00000000" w:rsidR="00000000" w:rsidRPr="00000000">
                            <w:rPr>
                              <w:rtl w:val="0"/>
                            </w:rPr>
                            <w:t xml:space="preserve">Miguel Rodríguez, Business Development, Octantis</w:t>
                          </w:r>
                        </w:p>
                        <w:p w:rsidR="00000000" w:rsidDel="00000000" w:rsidP="00000000" w:rsidRDefault="00000000" w:rsidRPr="00000000" w14:paraId="00000014">
                          <w:pPr>
                            <w:widowControl w:val="0"/>
                            <w:spacing w:line="240" w:lineRule="auto"/>
                            <w:rPr/>
                          </w:pPr>
                          <w:r w:rsidDel="00000000" w:rsidR="00000000" w:rsidRPr="00000000">
                            <w:rPr>
                              <w:rtl w:val="0"/>
                            </w:rPr>
                          </w:r>
                        </w:p>
                      </w:tc>
                    </w:tr>
                  </w:tbl>
                </w:sdtContent>
              </w:sdt>
              <w:p w:rsidR="00000000" w:rsidDel="00000000" w:rsidP="00000000" w:rsidRDefault="00000000" w:rsidRPr="00000000" w14:paraId="00000015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6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To access the acceleration programme, corporate-startup partnerships must apply to the open calls organised by the EU-LAC Digital Accelerator.</w:t>
                </w:r>
              </w:p>
              <w:p w:rsidR="00000000" w:rsidDel="00000000" w:rsidP="00000000" w:rsidRDefault="00000000" w:rsidRPr="00000000" w14:paraId="00000017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8">
                <w:pPr>
                  <w:jc w:val="both"/>
                  <w:rPr/>
                </w:pPr>
                <w:r w:rsidDel="00000000" w:rsidR="00000000" w:rsidRPr="00000000">
                  <w:rPr>
                    <w:b w:val="1"/>
                    <w:sz w:val="24"/>
                    <w:szCs w:val="24"/>
                    <w:rtl w:val="0"/>
                  </w:rPr>
                  <w:t xml:space="preserve">Corporates and startups invited to solve e-services challenges (but not only)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9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A">
                <w:pPr>
                  <w:jc w:val="both"/>
                  <w:rPr/>
                </w:pPr>
                <w:hyperlink r:id="rId8">
                  <w:r w:rsidDel="00000000" w:rsidR="00000000" w:rsidRPr="00000000">
                    <w:rPr>
                      <w:color w:val="1155cc"/>
                      <w:u w:val="single"/>
                      <w:rtl w:val="0"/>
                    </w:rPr>
                    <w:t xml:space="preserve">Open call #4</w:t>
                  </w:r>
                </w:hyperlink>
                <w:r w:rsidDel="00000000" w:rsidR="00000000" w:rsidRPr="00000000">
                  <w:rPr>
                    <w:rtl w:val="0"/>
                  </w:rPr>
                  <w:t xml:space="preserve"> for corporate-startup partnerships is open from 1 July 2025 to 31 October 2025. </w:t>
                </w:r>
              </w:p>
              <w:p w:rsidR="00000000" w:rsidDel="00000000" w:rsidP="00000000" w:rsidRDefault="00000000" w:rsidRPr="00000000" w14:paraId="0000001B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C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Applying partnerships should include:</w:t>
                </w:r>
              </w:p>
              <w:p w:rsidR="00000000" w:rsidDel="00000000" w:rsidP="00000000" w:rsidRDefault="00000000" w:rsidRPr="00000000" w14:paraId="0000001D">
                <w:pPr>
                  <w:numPr>
                    <w:ilvl w:val="0"/>
                    <w:numId w:val="8"/>
                  </w:numPr>
                  <w:ind w:left="720" w:hanging="360"/>
                  <w:jc w:val="both"/>
                </w:pPr>
                <w:r w:rsidDel="00000000" w:rsidR="00000000" w:rsidRPr="00000000">
                  <w:rPr>
                    <w:rtl w:val="0"/>
                  </w:rPr>
                  <w:t xml:space="preserve">A corporate facing an internal or customer-related challenge. </w:t>
                </w:r>
              </w:p>
              <w:p w:rsidR="00000000" w:rsidDel="00000000" w:rsidP="00000000" w:rsidRDefault="00000000" w:rsidRPr="00000000" w14:paraId="0000001E">
                <w:pPr>
                  <w:numPr>
                    <w:ilvl w:val="0"/>
                    <w:numId w:val="8"/>
                  </w:numPr>
                  <w:ind w:left="720" w:hanging="360"/>
                  <w:jc w:val="both"/>
                </w:pPr>
                <w:r w:rsidDel="00000000" w:rsidR="00000000" w:rsidRPr="00000000">
                  <w:rPr>
                    <w:rtl w:val="0"/>
                  </w:rPr>
                  <w:t xml:space="preserve">A startup or SME providing a digital solution to this challenge.</w:t>
                </w:r>
              </w:p>
              <w:p w:rsidR="00000000" w:rsidDel="00000000" w:rsidP="00000000" w:rsidRDefault="00000000" w:rsidRPr="00000000" w14:paraId="0000001F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0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For open call #4, the EU-LAC Digital Accelerator expands its focus to </w:t>
                </w:r>
                <w:r w:rsidDel="00000000" w:rsidR="00000000" w:rsidRPr="00000000">
                  <w:rPr>
                    <w:b w:val="1"/>
                    <w:rtl w:val="0"/>
                  </w:rPr>
                  <w:t xml:space="preserve">e-services</w:t>
                </w:r>
                <w:r w:rsidDel="00000000" w:rsidR="00000000" w:rsidRPr="00000000">
                  <w:rPr>
                    <w:rtl w:val="0"/>
                  </w:rPr>
                  <w:t xml:space="preserve">. </w:t>
                </w:r>
              </w:p>
              <w:p w:rsidR="00000000" w:rsidDel="00000000" w:rsidP="00000000" w:rsidRDefault="00000000" w:rsidRPr="00000000" w14:paraId="00000021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2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E-services can refer to any commercial service that can be managed or completed electronically, without requiring physical presence. For instance:</w:t>
                </w:r>
              </w:p>
              <w:p w:rsidR="00000000" w:rsidDel="00000000" w:rsidP="00000000" w:rsidRDefault="00000000" w:rsidRPr="00000000" w14:paraId="00000023">
                <w:pPr>
                  <w:numPr>
                    <w:ilvl w:val="0"/>
                    <w:numId w:val="9"/>
                  </w:numPr>
                  <w:spacing w:line="240" w:lineRule="auto"/>
                  <w:ind w:left="720" w:hanging="360"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Fan engagement app for a football clubs:</w:t>
                </w:r>
                <w:r w:rsidDel="00000000" w:rsidR="00000000" w:rsidRPr="00000000">
                  <w:rPr>
                    <w:rtl w:val="0"/>
                  </w:rPr>
                  <w:t xml:space="preserve"> </w:t>
                  <w:br w:type="textWrapping"/>
                  <w:t xml:space="preserve">Fans can interact with teams, answer surveys, receive merchandising offers, and access behind-the-scenes club content.</w:t>
                </w:r>
              </w:p>
              <w:p w:rsidR="00000000" w:rsidDel="00000000" w:rsidP="00000000" w:rsidRDefault="00000000" w:rsidRPr="00000000" w14:paraId="00000024">
                <w:pPr>
                  <w:numPr>
                    <w:ilvl w:val="0"/>
                    <w:numId w:val="9"/>
                  </w:numPr>
                  <w:spacing w:line="240" w:lineRule="auto"/>
                  <w:ind w:left="720" w:hanging="360"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Virtual exhibitions for museums: </w:t>
                  <w:br w:type="textWrapping"/>
                </w:r>
                <w:r w:rsidDel="00000000" w:rsidR="00000000" w:rsidRPr="00000000">
                  <w:rPr>
                    <w:rtl w:val="0"/>
                  </w:rPr>
                  <w:t xml:space="preserve">Cultural institutions can offer virtual tours of their exhibitions on their websites and apps, enticing people to visit.</w:t>
                </w:r>
              </w:p>
              <w:p w:rsidR="00000000" w:rsidDel="00000000" w:rsidP="00000000" w:rsidRDefault="00000000" w:rsidRPr="00000000" w14:paraId="00000025">
                <w:pPr>
                  <w:numPr>
                    <w:ilvl w:val="0"/>
                    <w:numId w:val="9"/>
                  </w:numPr>
                  <w:spacing w:line="240" w:lineRule="auto"/>
                  <w:ind w:left="720" w:hanging="360"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Digital onboarding for bank customers: </w:t>
                </w:r>
                <w:r w:rsidDel="00000000" w:rsidR="00000000" w:rsidRPr="00000000">
                  <w:rPr>
                    <w:rtl w:val="0"/>
                  </w:rPr>
                  <w:br w:type="textWrapping"/>
                  <w:t xml:space="preserve">With the use of AI, machine learning, and biometric verification, banks can let  customers open accounts in a matter of minutes without them having to visit their local branch.</w:t>
                </w:r>
              </w:p>
              <w:p w:rsidR="00000000" w:rsidDel="00000000" w:rsidP="00000000" w:rsidRDefault="00000000" w:rsidRPr="00000000" w14:paraId="00000026">
                <w:pPr>
                  <w:jc w:val="both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7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However, open call #4 is not restricted to e-services only, </w:t>
                </w:r>
                <w:r w:rsidDel="00000000" w:rsidR="00000000" w:rsidRPr="00000000">
                  <w:rPr>
                    <w:b w:val="1"/>
                    <w:rtl w:val="0"/>
                  </w:rPr>
                  <w:t xml:space="preserve">corporate-startup partnerships from any field are welcome to apply</w:t>
                </w:r>
                <w:r w:rsidDel="00000000" w:rsidR="00000000" w:rsidRPr="00000000">
                  <w:rPr>
                    <w:rtl w:val="0"/>
                  </w:rPr>
                  <w:t xml:space="preserve">.</w:t>
                </w:r>
              </w:p>
              <w:p w:rsidR="00000000" w:rsidDel="00000000" w:rsidP="00000000" w:rsidRDefault="00000000" w:rsidRPr="00000000" w14:paraId="00000028">
                <w:pPr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9">
                <w:pPr>
                  <w:jc w:val="both"/>
                  <w:rPr/>
                </w:pPr>
                <w:r w:rsidDel="00000000" w:rsidR="00000000" w:rsidRPr="00000000">
                  <w:rPr>
                    <w:b w:val="1"/>
                    <w:sz w:val="24"/>
                    <w:szCs w:val="24"/>
                    <w:rtl w:val="0"/>
                  </w:rPr>
                  <w:t xml:space="preserve">Once selected, partnerships will receive </w:t>
                </w:r>
                <w:r w:rsidDel="00000000" w:rsidR="00000000" w:rsidRPr="00000000">
                  <w:rPr>
                    <w:b w:val="1"/>
                    <w:i w:val="1"/>
                    <w:sz w:val="24"/>
                    <w:szCs w:val="24"/>
                    <w:rtl w:val="0"/>
                  </w:rPr>
                  <w:t xml:space="preserve">à la carte</w:t>
                </w:r>
                <w:r w:rsidDel="00000000" w:rsidR="00000000" w:rsidRPr="00000000">
                  <w:rPr>
                    <w:b w:val="1"/>
                    <w:sz w:val="24"/>
                    <w:szCs w:val="24"/>
                    <w:rtl w:val="0"/>
                  </w:rPr>
                  <w:t xml:space="preserve"> acceleration services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A">
                <w:pPr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B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Taking a close look at the common challenges corporates and startups face when they work together, the EU-LAC Digital Accelerator designed a 6-month acceleration programme.</w:t>
                </w:r>
              </w:p>
              <w:p w:rsidR="00000000" w:rsidDel="00000000" w:rsidP="00000000" w:rsidRDefault="00000000" w:rsidRPr="00000000" w14:paraId="0000002C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D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The programme focuses on three use cases: </w:t>
                </w:r>
              </w:p>
              <w:p w:rsidR="00000000" w:rsidDel="00000000" w:rsidP="00000000" w:rsidRDefault="00000000" w:rsidRPr="00000000" w14:paraId="0000002E">
                <w:pPr>
                  <w:numPr>
                    <w:ilvl w:val="0"/>
                    <w:numId w:val="7"/>
                  </w:numPr>
                  <w:spacing w:line="240" w:lineRule="auto"/>
                  <w:ind w:left="720" w:hanging="360"/>
                </w:pPr>
                <w:r w:rsidDel="00000000" w:rsidR="00000000" w:rsidRPr="00000000">
                  <w:rPr>
                    <w:rtl w:val="0"/>
                  </w:rPr>
                  <w:t xml:space="preserve">A corporate and a startup jointly develop a new product tailored to the corporate’s needs, leveraging the startup’s technological expertise.</w:t>
                </w:r>
              </w:p>
              <w:p w:rsidR="00000000" w:rsidDel="00000000" w:rsidP="00000000" w:rsidRDefault="00000000" w:rsidRPr="00000000" w14:paraId="0000002F">
                <w:pPr>
                  <w:numPr>
                    <w:ilvl w:val="0"/>
                    <w:numId w:val="7"/>
                  </w:numPr>
                  <w:spacing w:line="240" w:lineRule="auto"/>
                  <w:ind w:left="720" w:hanging="360"/>
                </w:pPr>
                <w:r w:rsidDel="00000000" w:rsidR="00000000" w:rsidRPr="00000000">
                  <w:rPr>
                    <w:rtl w:val="0"/>
                  </w:rPr>
                  <w:t xml:space="preserve">A startup integrates its solution to improve a corporate's process, validating its implementation and scalability</w:t>
                </w:r>
              </w:p>
              <w:p w:rsidR="00000000" w:rsidDel="00000000" w:rsidP="00000000" w:rsidRDefault="00000000" w:rsidRPr="00000000" w14:paraId="00000030">
                <w:pPr>
                  <w:numPr>
                    <w:ilvl w:val="0"/>
                    <w:numId w:val="7"/>
                  </w:numPr>
                  <w:spacing w:line="240" w:lineRule="auto"/>
                  <w:ind w:left="720" w:hanging="360"/>
                </w:pPr>
                <w:r w:rsidDel="00000000" w:rsidR="00000000" w:rsidRPr="00000000">
                  <w:rPr>
                    <w:rtl w:val="0"/>
                  </w:rPr>
                  <w:t xml:space="preserve">One partner helps the other adapt a product and successfully enter and sell in its local market.</w:t>
                </w:r>
              </w:p>
              <w:p w:rsidR="00000000" w:rsidDel="00000000" w:rsidP="00000000" w:rsidRDefault="00000000" w:rsidRPr="00000000" w14:paraId="00000031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2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To solve these different scenarios, the EU-LAC Digital Accelerator grouped acceleration services around three pillars:</w:t>
                </w:r>
              </w:p>
              <w:p w:rsidR="00000000" w:rsidDel="00000000" w:rsidP="00000000" w:rsidRDefault="00000000" w:rsidRPr="00000000" w14:paraId="00000033">
                <w:pPr>
                  <w:numPr>
                    <w:ilvl w:val="0"/>
                    <w:numId w:val="3"/>
                  </w:numPr>
                  <w:ind w:left="720" w:hanging="360"/>
                  <w:jc w:val="both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Proof of concept</w:t>
                </w:r>
                <w:r w:rsidDel="00000000" w:rsidR="00000000" w:rsidRPr="00000000">
                  <w:rPr>
                    <w:rtl w:val="0"/>
                  </w:rPr>
                  <w:t xml:space="preserve">, to validate the tech feasibility of the solution and ensure it answers a real need.</w:t>
                  <w:br w:type="textWrapping"/>
                </w:r>
                <w:r w:rsidDel="00000000" w:rsidR="00000000" w:rsidRPr="00000000">
                  <w:rPr>
                    <w:rtl w:val="0"/>
                  </w:rPr>
                </w:r>
              </w:p>
              <w:sdt>
                <w:sdtPr>
                  <w:lock w:val="contentLocked"/>
                  <w:id w:val="-2088533935"/>
                  <w:tag w:val="goog_rdk_1"/>
                </w:sdtPr>
                <w:sdtContent>
                  <w:tbl>
                    <w:tblPr>
                      <w:tblStyle w:val="Table3"/>
                      <w:tblW w:w="8852.0" w:type="dxa"/>
                      <w:jc w:val="left"/>
                      <w:tblBorders>
                        <w:top w:color="000000" w:space="0" w:sz="8" w:val="single"/>
                        <w:left w:color="000000" w:space="0" w:sz="8" w:val="single"/>
                        <w:bottom w:color="000000" w:space="0" w:sz="8" w:val="single"/>
                        <w:right w:color="000000" w:space="0" w:sz="8" w:val="single"/>
                        <w:insideH w:color="000000" w:space="0" w:sz="8" w:val="single"/>
                        <w:insideV w:color="000000" w:space="0" w:sz="8" w:val="single"/>
                      </w:tblBorders>
                      <w:tblLayout w:type="fixed"/>
                      <w:tblLook w:val="0600"/>
                    </w:tblPr>
                    <w:tblGrid>
                      <w:gridCol w:w="8852"/>
                      <w:tblGridChange w:id="0">
                        <w:tblGrid>
                          <w:gridCol w:w="8852"/>
                        </w:tblGrid>
                      </w:tblGridChange>
                    </w:tblGrid>
                    <w:tr>
                      <w:trPr>
                        <w:cantSplit w:val="0"/>
                        <w:tblHeader w:val="0"/>
                      </w:trPr>
                      <w:tc>
                        <w:tcPr>
                          <w:shd w:fill="auto" w:val="clear"/>
                          <w:tcMar>
                            <w:top w:w="100.0" w:type="dxa"/>
                            <w:left w:w="100.0" w:type="dxa"/>
                            <w:bottom w:w="100.0" w:type="dxa"/>
                            <w:right w:w="100.0" w:type="dxa"/>
                          </w:tcMar>
                          <w:vAlign w:val="top"/>
                        </w:tcPr>
                        <w:p w:rsidR="00000000" w:rsidDel="00000000" w:rsidP="00000000" w:rsidRDefault="00000000" w:rsidRPr="00000000" w14:paraId="00000034">
                          <w:pPr>
                            <w:widowControl w:val="0"/>
                            <w:spacing w:line="240" w:lineRule="auto"/>
                            <w:rPr/>
                          </w:pPr>
                          <w:r w:rsidDel="00000000" w:rsidR="00000000" w:rsidRPr="00000000">
                            <w:rPr>
                              <w:rtl w:val="0"/>
                            </w:rPr>
                            <w:t xml:space="preserve">“</w:t>
                          </w:r>
                          <w:r w:rsidDel="00000000" w:rsidR="00000000" w:rsidRPr="00000000">
                            <w:rPr>
                              <w:i w:val="1"/>
                              <w:rtl w:val="0"/>
                            </w:rPr>
                            <w:t xml:space="preserve">We first support partnerships in reducing uncertainty when developing their innovation by conducting a proof of concept service to determine the feasibility of the project. Such a service demonstrates the strength of novel concepts and the challenges to overcome.</w:t>
                          </w:r>
                          <w:r w:rsidDel="00000000" w:rsidR="00000000" w:rsidRPr="00000000">
                            <w:rPr>
                              <w:rtl w:val="0"/>
                            </w:rPr>
                            <w:t xml:space="preserve">”</w:t>
                          </w:r>
                        </w:p>
                        <w:p w:rsidR="00000000" w:rsidDel="00000000" w:rsidP="00000000" w:rsidRDefault="00000000" w:rsidRPr="00000000" w14:paraId="00000035">
                          <w:pPr>
                            <w:widowControl w:val="0"/>
                            <w:spacing w:line="240" w:lineRule="auto"/>
                            <w:rPr/>
                          </w:pPr>
                          <w:r w:rsidDel="00000000" w:rsidR="00000000" w:rsidRPr="00000000">
                            <w:rPr>
                              <w:rtl w:val="0"/>
                            </w:rPr>
                          </w:r>
                        </w:p>
                        <w:p w:rsidR="00000000" w:rsidDel="00000000" w:rsidP="00000000" w:rsidRDefault="00000000" w:rsidRPr="00000000" w14:paraId="00000036">
                          <w:pPr>
                            <w:widowControl w:val="0"/>
                            <w:spacing w:line="240" w:lineRule="auto"/>
                            <w:rPr/>
                          </w:pPr>
                          <w:r w:rsidDel="00000000" w:rsidR="00000000" w:rsidRPr="00000000">
                            <w:rPr>
                              <w:rtl w:val="0"/>
                            </w:rPr>
                            <w:t xml:space="preserve">Txomin Rodríguez, Product &amp; Business Development, Octantis</w:t>
                          </w:r>
                        </w:p>
                        <w:p w:rsidR="00000000" w:rsidDel="00000000" w:rsidP="00000000" w:rsidRDefault="00000000" w:rsidRPr="00000000" w14:paraId="00000037">
                          <w:pPr>
                            <w:widowControl w:val="0"/>
                            <w:spacing w:line="240" w:lineRule="auto"/>
                            <w:rPr/>
                          </w:pPr>
                          <w:r w:rsidDel="00000000" w:rsidR="00000000" w:rsidRPr="00000000">
                            <w:rPr>
                              <w:rtl w:val="0"/>
                            </w:rPr>
                          </w:r>
                        </w:p>
                      </w:tc>
                    </w:tr>
                  </w:tbl>
                </w:sdtContent>
              </w:sdt>
              <w:p w:rsidR="00000000" w:rsidDel="00000000" w:rsidP="00000000" w:rsidRDefault="00000000" w:rsidRPr="00000000" w14:paraId="00000038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9">
                <w:pPr>
                  <w:numPr>
                    <w:ilvl w:val="0"/>
                    <w:numId w:val="3"/>
                  </w:numPr>
                  <w:ind w:left="720" w:hanging="360"/>
                  <w:jc w:val="both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Business case</w:t>
                </w:r>
                <w:r w:rsidDel="00000000" w:rsidR="00000000" w:rsidRPr="00000000">
                  <w:rPr>
                    <w:rtl w:val="0"/>
                  </w:rPr>
                  <w:t xml:space="preserve">, to build a business model that generates revenue and establish a winning international expansion strategy.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A">
                <w:pPr>
                  <w:numPr>
                    <w:ilvl w:val="0"/>
                    <w:numId w:val="3"/>
                  </w:numPr>
                  <w:ind w:left="720" w:hanging="360"/>
                  <w:jc w:val="both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Investment &amp; Scaling</w:t>
                </w:r>
                <w:r w:rsidDel="00000000" w:rsidR="00000000" w:rsidRPr="00000000">
                  <w:rPr>
                    <w:rtl w:val="0"/>
                  </w:rPr>
                  <w:t xml:space="preserve">, to produce and sell exponentially, and make the partnership ready to attract investments to improve the newly built solution.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B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C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Once selected, corporate-startup partnerships define - along with the accelerator’s experts - the most suitable services.</w:t>
                </w:r>
              </w:p>
              <w:p w:rsidR="00000000" w:rsidDel="00000000" w:rsidP="00000000" w:rsidRDefault="00000000" w:rsidRPr="00000000" w14:paraId="0000003D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E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By the end of the programme, the partnership would have built a product or a service that </w:t>
                </w:r>
                <w:r w:rsidDel="00000000" w:rsidR="00000000" w:rsidRPr="00000000">
                  <w:rPr>
                    <w:b w:val="1"/>
                    <w:rtl w:val="0"/>
                  </w:rPr>
                  <w:t xml:space="preserve">solves a real problem and is nearly ready for commercialisation</w:t>
                </w:r>
                <w:r w:rsidDel="00000000" w:rsidR="00000000" w:rsidRPr="00000000">
                  <w:rPr>
                    <w:rtl w:val="0"/>
                  </w:rPr>
                  <w:t xml:space="preserve">. </w:t>
                </w:r>
              </w:p>
              <w:p w:rsidR="00000000" w:rsidDel="00000000" w:rsidP="00000000" w:rsidRDefault="00000000" w:rsidRPr="00000000" w14:paraId="0000003F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0">
                <w:pPr>
                  <w:jc w:val="both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sz w:val="24"/>
                    <w:szCs w:val="24"/>
                    <w:rtl w:val="0"/>
                  </w:rPr>
                  <w:t xml:space="preserve">2025 novelty: up to €10,500 in grants for selected startups and SMEs to support proof-of-concept development and execution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1">
                <w:pPr>
                  <w:jc w:val="both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2">
                <w:pPr>
                  <w:widowControl w:val="0"/>
                  <w:spacing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In May 2025, the EU-LAC Digital Accelerator unlocked up to </w:t>
                </w:r>
                <w:r w:rsidDel="00000000" w:rsidR="00000000" w:rsidRPr="00000000">
                  <w:rPr>
                    <w:b w:val="1"/>
                    <w:rtl w:val="0"/>
                  </w:rPr>
                  <w:t xml:space="preserve">€10,500 of grants for selected startups and SMEs</w:t>
                </w:r>
                <w:r w:rsidDel="00000000" w:rsidR="00000000" w:rsidRPr="00000000">
                  <w:rPr>
                    <w:rtl w:val="0"/>
                  </w:rPr>
                  <w:t xml:space="preserve">:</w:t>
                </w:r>
              </w:p>
              <w:p w:rsidR="00000000" w:rsidDel="00000000" w:rsidP="00000000" w:rsidRDefault="00000000" w:rsidRPr="00000000" w14:paraId="00000043">
                <w:pPr>
                  <w:widowControl w:val="0"/>
                  <w:numPr>
                    <w:ilvl w:val="0"/>
                    <w:numId w:val="5"/>
                  </w:numPr>
                  <w:spacing w:line="240" w:lineRule="auto"/>
                  <w:ind w:left="720" w:hanging="360"/>
                  <w:jc w:val="both"/>
                </w:pPr>
                <w:r w:rsidDel="00000000" w:rsidR="00000000" w:rsidRPr="00000000">
                  <w:rPr>
                    <w:rtl w:val="0"/>
                  </w:rPr>
                  <w:t xml:space="preserve">€7,000 for proof-of-concept development.</w:t>
                </w:r>
              </w:p>
              <w:p w:rsidR="00000000" w:rsidDel="00000000" w:rsidP="00000000" w:rsidRDefault="00000000" w:rsidRPr="00000000" w14:paraId="00000044">
                <w:pPr>
                  <w:widowControl w:val="0"/>
                  <w:numPr>
                    <w:ilvl w:val="0"/>
                    <w:numId w:val="5"/>
                  </w:numPr>
                  <w:spacing w:line="240" w:lineRule="auto"/>
                  <w:ind w:left="720" w:hanging="360"/>
                  <w:jc w:val="both"/>
                </w:pPr>
                <w:r w:rsidDel="00000000" w:rsidR="00000000" w:rsidRPr="00000000">
                  <w:rPr>
                    <w:rtl w:val="0"/>
                  </w:rPr>
                  <w:t xml:space="preserve">Up to €2,000 to travel to the corporate’s premises to run a proof of concept experiment.</w:t>
                </w:r>
              </w:p>
              <w:p w:rsidR="00000000" w:rsidDel="00000000" w:rsidP="00000000" w:rsidRDefault="00000000" w:rsidRPr="00000000" w14:paraId="00000045">
                <w:pPr>
                  <w:widowControl w:val="0"/>
                  <w:numPr>
                    <w:ilvl w:val="0"/>
                    <w:numId w:val="5"/>
                  </w:numPr>
                  <w:spacing w:line="240" w:lineRule="auto"/>
                  <w:ind w:left="720" w:hanging="360"/>
                  <w:jc w:val="both"/>
                </w:pPr>
                <w:r w:rsidDel="00000000" w:rsidR="00000000" w:rsidRPr="00000000">
                  <w:rPr>
                    <w:rtl w:val="0"/>
                  </w:rPr>
                  <w:t xml:space="preserve">Up to €1,500 to transport the necessary equipment to test the solution.</w:t>
                </w:r>
              </w:p>
              <w:p w:rsidR="00000000" w:rsidDel="00000000" w:rsidP="00000000" w:rsidRDefault="00000000" w:rsidRPr="00000000" w14:paraId="00000046">
                <w:pPr>
                  <w:widowControl w:val="0"/>
                  <w:spacing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7">
                <w:pPr>
                  <w:widowControl w:val="0"/>
                  <w:spacing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Startups and SMEs can check their eligibility and apply for the grant by contacting their assigned mentor at the beginning of the programme.</w:t>
                </w:r>
              </w:p>
              <w:p w:rsidR="00000000" w:rsidDel="00000000" w:rsidP="00000000" w:rsidRDefault="00000000" w:rsidRPr="00000000" w14:paraId="00000048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9">
                <w:pPr>
                  <w:jc w:val="both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sz w:val="24"/>
                    <w:szCs w:val="24"/>
                    <w:rtl w:val="0"/>
                  </w:rPr>
                  <w:t xml:space="preserve">The example of a Peruvian TV channel partnering with a Spanish startup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A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B">
                <w:pPr>
                  <w:spacing w:line="240" w:lineRule="auto"/>
                  <w:jc w:val="both"/>
                  <w:rPr/>
                </w:pPr>
                <w:hyperlink r:id="rId9">
                  <w:r w:rsidDel="00000000" w:rsidR="00000000" w:rsidRPr="00000000">
                    <w:rPr>
                      <w:color w:val="1155cc"/>
                      <w:u w:val="single"/>
                      <w:rtl w:val="0"/>
                    </w:rPr>
                    <w:t xml:space="preserve">Latina TV</w:t>
                  </w:r>
                </w:hyperlink>
                <w:r w:rsidDel="00000000" w:rsidR="00000000" w:rsidRPr="00000000">
                  <w:rPr>
                    <w:rtl w:val="0"/>
                  </w:rPr>
                  <w:t xml:space="preserve"> is the second-largest Peruvian channel in terms of viewership, and it is struggling to keep its programmes out of illegal streaming platforms. </w:t>
                </w:r>
              </w:p>
              <w:p w:rsidR="00000000" w:rsidDel="00000000" w:rsidP="00000000" w:rsidRDefault="00000000" w:rsidRPr="00000000" w14:paraId="0000004C">
                <w:pPr>
                  <w:spacing w:line="240" w:lineRule="auto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D">
                <w:pPr>
                  <w:spacing w:line="240" w:lineRule="auto"/>
                  <w:rPr/>
                </w:pPr>
                <w:r w:rsidDel="00000000" w:rsidR="00000000" w:rsidRPr="00000000">
                  <w:rPr>
                    <w:rtl w:val="0"/>
                  </w:rPr>
                  <w:t xml:space="preserve">This has dire consequences:</w:t>
                </w:r>
              </w:p>
              <w:p w:rsidR="00000000" w:rsidDel="00000000" w:rsidP="00000000" w:rsidRDefault="00000000" w:rsidRPr="00000000" w14:paraId="0000004E">
                <w:pPr>
                  <w:numPr>
                    <w:ilvl w:val="0"/>
                    <w:numId w:val="6"/>
                  </w:numPr>
                  <w:spacing w:line="240" w:lineRule="auto"/>
                  <w:ind w:left="720" w:hanging="360"/>
                  <w:jc w:val="both"/>
                </w:pPr>
                <w:r w:rsidDel="00000000" w:rsidR="00000000" w:rsidRPr="00000000">
                  <w:rPr>
                    <w:rtl w:val="0"/>
                  </w:rPr>
                  <w:t xml:space="preserve">Piracy deprives Latina TV of revenue from legitimate subscriptions and advertising.</w:t>
                </w:r>
              </w:p>
              <w:p w:rsidR="00000000" w:rsidDel="00000000" w:rsidP="00000000" w:rsidRDefault="00000000" w:rsidRPr="00000000" w14:paraId="0000004F">
                <w:pPr>
                  <w:numPr>
                    <w:ilvl w:val="0"/>
                    <w:numId w:val="6"/>
                  </w:numPr>
                  <w:spacing w:line="240" w:lineRule="auto"/>
                  <w:ind w:left="720" w:hanging="360"/>
                  <w:jc w:val="both"/>
                </w:pPr>
                <w:r w:rsidDel="00000000" w:rsidR="00000000" w:rsidRPr="00000000">
                  <w:rPr>
                    <w:rtl w:val="0"/>
                  </w:rPr>
                  <w:t xml:space="preserve">Revenue losses hinder Latina TV’s ability to keep investing in high-quality productions. </w:t>
                </w:r>
              </w:p>
              <w:p w:rsidR="00000000" w:rsidDel="00000000" w:rsidP="00000000" w:rsidRDefault="00000000" w:rsidRPr="00000000" w14:paraId="00000050">
                <w:pPr>
                  <w:spacing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1">
                <w:pPr>
                  <w:spacing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On the other side of the Atlantic, </w:t>
                </w:r>
                <w:hyperlink r:id="rId10">
                  <w:r w:rsidDel="00000000" w:rsidR="00000000" w:rsidRPr="00000000">
                    <w:rPr>
                      <w:color w:val="1155cc"/>
                      <w:u w:val="single"/>
                      <w:rtl w:val="0"/>
                    </w:rPr>
                    <w:t xml:space="preserve">Smart Protection</w:t>
                  </w:r>
                </w:hyperlink>
                <w:r w:rsidDel="00000000" w:rsidR="00000000" w:rsidRPr="00000000">
                  <w:rPr>
                    <w:rtl w:val="0"/>
                  </w:rPr>
                  <w:t xml:space="preserve"> is a Spanish startup with a mission: </w:t>
                </w:r>
                <w:r w:rsidDel="00000000" w:rsidR="00000000" w:rsidRPr="00000000">
                  <w:rPr>
                    <w:b w:val="1"/>
                    <w:rtl w:val="0"/>
                  </w:rPr>
                  <w:t xml:space="preserve">protect brands from counterfeits, piracy, and fake websites</w:t>
                </w:r>
                <w:r w:rsidDel="00000000" w:rsidR="00000000" w:rsidRPr="00000000">
                  <w:rPr>
                    <w:rtl w:val="0"/>
                  </w:rPr>
                  <w:t xml:space="preserve">.</w:t>
                </w:r>
              </w:p>
              <w:p w:rsidR="00000000" w:rsidDel="00000000" w:rsidP="00000000" w:rsidRDefault="00000000" w:rsidRPr="00000000" w14:paraId="00000052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3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Through advanced semantic search and collaboration with social media platforms (such as TikTok and Dailymotion) and search engines, the partnership aims to develop a process for promptly identifying and removing illegal content.</w:t>
                </w:r>
              </w:p>
              <w:p w:rsidR="00000000" w:rsidDel="00000000" w:rsidP="00000000" w:rsidRDefault="00000000" w:rsidRPr="00000000" w14:paraId="00000054">
                <w:pPr>
                  <w:spacing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5">
                <w:pPr>
                  <w:spacing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This will allow Latina TV to redirect viewers to its official platforms, </w:t>
                </w:r>
                <w:hyperlink r:id="rId11">
                  <w:r w:rsidDel="00000000" w:rsidR="00000000" w:rsidRPr="00000000">
                    <w:rPr>
                      <w:b w:val="1"/>
                      <w:color w:val="1155cc"/>
                      <w:u w:val="single"/>
                      <w:rtl w:val="0"/>
                    </w:rPr>
                    <w:t xml:space="preserve">thus improving audience engagement and revenue</w:t>
                  </w:r>
                </w:hyperlink>
                <w:r w:rsidDel="00000000" w:rsidR="00000000" w:rsidRPr="00000000">
                  <w:rPr>
                    <w:rtl w:val="0"/>
                  </w:rPr>
                  <w:t xml:space="preserve">.</w:t>
                </w:r>
              </w:p>
              <w:p w:rsidR="00000000" w:rsidDel="00000000" w:rsidP="00000000" w:rsidRDefault="00000000" w:rsidRPr="00000000" w14:paraId="00000056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7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8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sdt>
                <w:sdtPr>
                  <w:lock w:val="contentLocked"/>
                  <w:id w:val="2127964852"/>
                  <w:tag w:val="goog_rdk_2"/>
                </w:sdtPr>
                <w:sdtContent>
                  <w:tbl>
                    <w:tblPr>
                      <w:tblStyle w:val="Table4"/>
                      <w:tblW w:w="8852.0" w:type="dxa"/>
                      <w:jc w:val="left"/>
                      <w:tblBorders>
                        <w:top w:color="ffffff" w:space="0" w:sz="8" w:val="single"/>
                        <w:left w:color="ffffff" w:space="0" w:sz="8" w:val="single"/>
                        <w:bottom w:color="ffffff" w:space="0" w:sz="8" w:val="single"/>
                        <w:right w:color="ffffff" w:space="0" w:sz="8" w:val="single"/>
                        <w:insideH w:color="ffffff" w:space="0" w:sz="8" w:val="single"/>
                        <w:insideV w:color="ffffff" w:space="0" w:sz="8" w:val="single"/>
                      </w:tblBorders>
                      <w:tblLayout w:type="fixed"/>
                      <w:tblLook w:val="0600"/>
                    </w:tblPr>
                    <w:tblGrid>
                      <w:gridCol w:w="4426"/>
                      <w:gridCol w:w="4426"/>
                      <w:tblGridChange w:id="0">
                        <w:tblGrid>
                          <w:gridCol w:w="4426"/>
                          <w:gridCol w:w="4426"/>
                        </w:tblGrid>
                      </w:tblGridChange>
                    </w:tblGrid>
                    <w:tr>
                      <w:trPr>
                        <w:cantSplit w:val="0"/>
                        <w:tblHeader w:val="0"/>
                      </w:trPr>
                      <w:tc>
                        <w:tcPr>
                          <w:shd w:fill="auto" w:val="clear"/>
                          <w:tcMar>
                            <w:top w:w="100.0" w:type="dxa"/>
                            <w:left w:w="100.0" w:type="dxa"/>
                            <w:bottom w:w="100.0" w:type="dxa"/>
                            <w:right w:w="100.0" w:type="dxa"/>
                          </w:tcMar>
                          <w:vAlign w:val="top"/>
                        </w:tcPr>
                        <w:p w:rsidR="00000000" w:rsidDel="00000000" w:rsidP="00000000" w:rsidRDefault="00000000" w:rsidRPr="00000000" w14:paraId="00000059">
                          <w:pPr>
                            <w:widowControl w:val="0"/>
                            <w:spacing w:line="240" w:lineRule="auto"/>
                            <w:rPr/>
                          </w:pPr>
                          <w:r w:rsidDel="00000000" w:rsidR="00000000" w:rsidRPr="00000000">
                            <w:rPr/>
                            <w:drawing>
                              <wp:inline distB="114300" distT="114300" distL="114300" distR="114300">
                                <wp:extent cx="2657475" cy="2654300"/>
                                <wp:effectExtent b="0" l="0" r="0" t="0"/>
                                <wp:docPr id="337872200" name="image5.png"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0" name="image5.png"/>
                                        <pic:cNvPicPr preferRelativeResize="0"/>
                                      </pic:nvPicPr>
                                      <pic:blipFill>
                                        <a:blip r:embed="rId12"/>
                                        <a:srcRect b="58" l="0" r="0" t="5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657475" cy="2654300"/>
                                        </a:xfrm>
                                        <a:prstGeom prst="rect"/>
                                        <a:ln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Del="00000000" w:rsidR="00000000" w:rsidRPr="00000000">
                            <w:rPr>
                              <w:rtl w:val="0"/>
                            </w:rPr>
                          </w:r>
                        </w:p>
                      </w:tc>
                      <w:tc>
                        <w:tcPr>
                          <w:shd w:fill="auto" w:val="clear"/>
                          <w:tcMar>
                            <w:top w:w="100.0" w:type="dxa"/>
                            <w:left w:w="100.0" w:type="dxa"/>
                            <w:bottom w:w="100.0" w:type="dxa"/>
                            <w:right w:w="100.0" w:type="dxa"/>
                          </w:tcMar>
                          <w:vAlign w:val="top"/>
                        </w:tcPr>
                        <w:p w:rsidR="00000000" w:rsidDel="00000000" w:rsidP="00000000" w:rsidRDefault="00000000" w:rsidRPr="00000000" w14:paraId="0000005A">
                          <w:pPr>
                            <w:widowControl w:val="0"/>
                            <w:spacing w:line="240" w:lineRule="auto"/>
                            <w:rPr/>
                          </w:pPr>
                          <w:r w:rsidDel="00000000" w:rsidR="00000000" w:rsidRPr="00000000">
                            <w:rPr/>
                            <w:drawing>
                              <wp:inline distB="114300" distT="114300" distL="114300" distR="114300">
                                <wp:extent cx="2657475" cy="2654300"/>
                                <wp:effectExtent b="0" l="0" r="0" t="0"/>
                                <wp:docPr id="337872199" name="image6.png"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0" name="image6.png"/>
                                        <pic:cNvPicPr preferRelativeResize="0"/>
                                      </pic:nvPicPr>
                                      <pic:blipFill>
                                        <a:blip r:embed="rId13"/>
                                        <a:srcRect b="58" l="0" r="0" t="5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657475" cy="2654300"/>
                                        </a:xfrm>
                                        <a:prstGeom prst="rect"/>
                                        <a:ln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Del="00000000" w:rsidR="00000000" w:rsidRPr="00000000">
                            <w:rPr>
                              <w:rtl w:val="0"/>
                            </w:rPr>
                          </w:r>
                        </w:p>
                      </w:tc>
                    </w:tr>
                  </w:tbl>
                </w:sdtContent>
              </w:sdt>
              <w:p w:rsidR="00000000" w:rsidDel="00000000" w:rsidP="00000000" w:rsidRDefault="00000000" w:rsidRPr="00000000" w14:paraId="0000005B">
                <w:pPr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C">
                <w:pPr>
                  <w:rPr>
                    <w:sz w:val="32"/>
                    <w:szCs w:val="32"/>
                  </w:rPr>
                </w:pPr>
                <w:r w:rsidDel="00000000" w:rsidR="00000000" w:rsidRPr="00000000">
                  <w:rPr>
                    <w:b w:val="1"/>
                    <w:sz w:val="24"/>
                    <w:szCs w:val="24"/>
                    <w:rtl w:val="0"/>
                  </w:rPr>
                  <w:t xml:space="preserve">The internationalisation differentiator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D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E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The EU-LAC Digital Accelerator stands out as an accelerator for 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international </w:t>
                </w:r>
                <w:r w:rsidDel="00000000" w:rsidR="00000000" w:rsidRPr="00000000">
                  <w:rPr>
                    <w:rtl w:val="0"/>
                  </w:rPr>
                  <w:t xml:space="preserve">partnerships. </w:t>
                </w:r>
              </w:p>
              <w:p w:rsidR="00000000" w:rsidDel="00000000" w:rsidP="00000000" w:rsidRDefault="00000000" w:rsidRPr="00000000" w14:paraId="0000005F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0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In other words, the purpose of the accelerator is not only to make partnerships work on a product or service that can be commercialised, but also on a product or service that can be commercialised 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in a new market</w:t>
                </w:r>
                <w:r w:rsidDel="00000000" w:rsidR="00000000" w:rsidRPr="00000000">
                  <w:rPr>
                    <w:rtl w:val="0"/>
                  </w:rPr>
                  <w:t xml:space="preserve"> for one of the partners. </w:t>
                </w:r>
              </w:p>
              <w:p w:rsidR="00000000" w:rsidDel="00000000" w:rsidP="00000000" w:rsidRDefault="00000000" w:rsidRPr="00000000" w14:paraId="00000061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2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The 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Internationalisation &amp; Soft-landing strategy </w:t>
                </w:r>
                <w:r w:rsidDel="00000000" w:rsidR="00000000" w:rsidRPr="00000000">
                  <w:rPr>
                    <w:rtl w:val="0"/>
                  </w:rPr>
                  <w:t xml:space="preserve">service delivered by the accelerator answers this need by tackling regulation and tax issues as well as cultural aspects in order to “land” smoothly in a new country:</w:t>
                </w:r>
              </w:p>
              <w:p w:rsidR="00000000" w:rsidDel="00000000" w:rsidP="00000000" w:rsidRDefault="00000000" w:rsidRPr="00000000" w14:paraId="00000063">
                <w:pPr>
                  <w:jc w:val="both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4">
                <w:pPr>
                  <w:jc w:val="center"/>
                  <w:rPr/>
                </w:pPr>
                <w:hyperlink r:id="rId14">
                  <w:r w:rsidDel="00000000" w:rsidR="00000000" w:rsidRPr="00000000">
                    <w:rPr>
                      <w:color w:val="1155cc"/>
                      <w:u w:val="single"/>
                      <w:rtl w:val="0"/>
                    </w:rPr>
                    <w:t xml:space="preserve">[VIDEO]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5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6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For this reason, applying partnerships must be located in distinct regions (the European Union, Latin America, and the Caribbean). </w:t>
                </w:r>
              </w:p>
              <w:p w:rsidR="00000000" w:rsidDel="00000000" w:rsidP="00000000" w:rsidRDefault="00000000" w:rsidRPr="00000000" w14:paraId="00000067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8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By way of illustration, a Caribbean startup would only be able to apply along with a European or Latin American corporate.</w:t>
                </w:r>
              </w:p>
              <w:p w:rsidR="00000000" w:rsidDel="00000000" w:rsidP="00000000" w:rsidRDefault="00000000" w:rsidRPr="00000000" w14:paraId="00000069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A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In order to help corporates and startups without a partner find an innovation mate, the EU-LAC Digital Accelerator has set up a </w:t>
                </w:r>
                <w:hyperlink r:id="rId15">
                  <w:r w:rsidDel="00000000" w:rsidR="00000000" w:rsidRPr="00000000">
                    <w:rPr>
                      <w:color w:val="1155cc"/>
                      <w:u w:val="single"/>
                      <w:rtl w:val="0"/>
                    </w:rPr>
                    <w:t xml:space="preserve">matching platform</w:t>
                  </w:r>
                </w:hyperlink>
                <w:r w:rsidDel="00000000" w:rsidR="00000000" w:rsidRPr="00000000">
                  <w:rPr>
                    <w:rtl w:val="0"/>
                  </w:rPr>
                  <w:t xml:space="preserve">.</w:t>
                </w:r>
              </w:p>
              <w:p w:rsidR="00000000" w:rsidDel="00000000" w:rsidP="00000000" w:rsidRDefault="00000000" w:rsidRPr="00000000" w14:paraId="0000006B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C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With close to 60 corporate challenges and over 1,450 startups willing to bring their digital expertise, the matching platform has grown to become a strong marketplace where corporates and startups can get in touch and agree on a partnership before applying together to the open call.</w:t>
                </w:r>
              </w:p>
              <w:p w:rsidR="00000000" w:rsidDel="00000000" w:rsidP="00000000" w:rsidRDefault="00000000" w:rsidRPr="00000000" w14:paraId="0000006D">
                <w:pPr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sdt>
                <w:sdtPr>
                  <w:lock w:val="contentLocked"/>
                  <w:id w:val="-1168722746"/>
                  <w:tag w:val="goog_rdk_3"/>
                </w:sdtPr>
                <w:sdtContent>
                  <w:tbl>
                    <w:tblPr>
                      <w:tblStyle w:val="Table5"/>
                      <w:tblW w:w="8852.0" w:type="dxa"/>
                      <w:jc w:val="left"/>
                      <w:tblBorders>
                        <w:top w:color="000000" w:space="0" w:sz="8" w:val="single"/>
                        <w:left w:color="000000" w:space="0" w:sz="8" w:val="single"/>
                        <w:bottom w:color="000000" w:space="0" w:sz="8" w:val="single"/>
                        <w:right w:color="000000" w:space="0" w:sz="8" w:val="single"/>
                        <w:insideH w:color="000000" w:space="0" w:sz="8" w:val="single"/>
                        <w:insideV w:color="000000" w:space="0" w:sz="8" w:val="single"/>
                      </w:tblBorders>
                      <w:tblLayout w:type="fixed"/>
                      <w:tblLook w:val="0600"/>
                    </w:tblPr>
                    <w:tblGrid>
                      <w:gridCol w:w="8852"/>
                      <w:tblGridChange w:id="0">
                        <w:tblGrid>
                          <w:gridCol w:w="8852"/>
                        </w:tblGrid>
                      </w:tblGridChange>
                    </w:tblGrid>
                    <w:tr>
                      <w:trPr>
                        <w:cantSplit w:val="0"/>
                        <w:tblHeader w:val="0"/>
                      </w:trPr>
                      <w:tc>
                        <w:tcPr>
                          <w:shd w:fill="auto" w:val="clear"/>
                          <w:tcMar>
                            <w:top w:w="100.0" w:type="dxa"/>
                            <w:left w:w="100.0" w:type="dxa"/>
                            <w:bottom w:w="100.0" w:type="dxa"/>
                            <w:right w:w="100.0" w:type="dxa"/>
                          </w:tcMar>
                          <w:vAlign w:val="top"/>
                        </w:tcPr>
                        <w:p w:rsidR="00000000" w:rsidDel="00000000" w:rsidP="00000000" w:rsidRDefault="00000000" w:rsidRPr="00000000" w14:paraId="0000006E">
                          <w:pPr>
                            <w:widowControl w:val="0"/>
                            <w:spacing w:line="240" w:lineRule="auto"/>
                            <w:jc w:val="center"/>
                            <w:rPr>
                              <w:b w:val="1"/>
                            </w:rPr>
                          </w:pPr>
                          <w:r w:rsidDel="00000000" w:rsidR="00000000" w:rsidRPr="00000000">
                            <w:rPr>
                              <w:b w:val="1"/>
                              <w:rtl w:val="0"/>
                            </w:rPr>
                            <w:t xml:space="preserve">Open call #4 summary</w:t>
                          </w:r>
                        </w:p>
                        <w:p w:rsidR="00000000" w:rsidDel="00000000" w:rsidP="00000000" w:rsidRDefault="00000000" w:rsidRPr="00000000" w14:paraId="0000006F">
                          <w:pPr>
                            <w:widowControl w:val="0"/>
                            <w:spacing w:line="240" w:lineRule="auto"/>
                            <w:jc w:val="center"/>
                            <w:rPr>
                              <w:b w:val="1"/>
                            </w:rPr>
                          </w:pPr>
                          <w:r w:rsidDel="00000000" w:rsidR="00000000" w:rsidRPr="00000000">
                            <w:rPr>
                              <w:rtl w:val="0"/>
                            </w:rPr>
                          </w:r>
                        </w:p>
                        <w:p w:rsidR="00000000" w:rsidDel="00000000" w:rsidP="00000000" w:rsidRDefault="00000000" w:rsidRPr="00000000" w14:paraId="00000070">
                          <w:pPr>
                            <w:widowControl w:val="0"/>
                            <w:spacing w:line="240" w:lineRule="auto"/>
                            <w:rPr>
                              <w:b w:val="1"/>
                            </w:rPr>
                          </w:pPr>
                          <w:r w:rsidDel="00000000" w:rsidR="00000000" w:rsidRPr="00000000">
                            <w:rPr>
                              <w:rtl w:val="0"/>
                            </w:rPr>
                          </w:r>
                        </w:p>
                        <w:p w:rsidR="00000000" w:rsidDel="00000000" w:rsidP="00000000" w:rsidRDefault="00000000" w:rsidRPr="00000000" w14:paraId="00000071">
                          <w:pPr>
                            <w:widowControl w:val="0"/>
                            <w:numPr>
                              <w:ilvl w:val="0"/>
                              <w:numId w:val="4"/>
                            </w:numPr>
                            <w:spacing w:line="240" w:lineRule="auto"/>
                            <w:ind w:left="720" w:hanging="360"/>
                            <w:jc w:val="both"/>
                            <w:rPr>
                              <w:b w:val="1"/>
                            </w:rPr>
                          </w:pPr>
                          <w:r w:rsidDel="00000000" w:rsidR="00000000" w:rsidRPr="00000000">
                            <w:rPr>
                              <w:b w:val="1"/>
                              <w:rtl w:val="0"/>
                            </w:rPr>
                            <w:t xml:space="preserve">Purpose of the EU-LAC Digital Accelerator: </w:t>
                          </w:r>
                          <w:r w:rsidDel="00000000" w:rsidR="00000000" w:rsidRPr="00000000">
                            <w:rPr>
                              <w:rtl w:val="0"/>
                            </w:rPr>
                            <w:t xml:space="preserve">Support corporate-startup partnerships from the European Union, Latin America, and the Caribbean to build a digital product or service and bring it close to commercialisation. </w:t>
                          </w:r>
                          <w:r w:rsidDel="00000000" w:rsidR="00000000" w:rsidRPr="00000000">
                            <w:rPr>
                              <w:b w:val="1"/>
                              <w:rtl w:val="0"/>
                            </w:rPr>
                            <w:br w:type="textWrapping"/>
                          </w:r>
                        </w:p>
                        <w:p w:rsidR="00000000" w:rsidDel="00000000" w:rsidP="00000000" w:rsidRDefault="00000000" w:rsidRPr="00000000" w14:paraId="00000072">
                          <w:pPr>
                            <w:widowControl w:val="0"/>
                            <w:numPr>
                              <w:ilvl w:val="0"/>
                              <w:numId w:val="4"/>
                            </w:numPr>
                            <w:spacing w:line="240" w:lineRule="auto"/>
                            <w:ind w:left="720" w:hanging="360"/>
                            <w:jc w:val="both"/>
                            <w:rPr>
                              <w:b w:val="1"/>
                            </w:rPr>
                          </w:pPr>
                          <w:r w:rsidDel="00000000" w:rsidR="00000000" w:rsidRPr="00000000">
                            <w:rPr>
                              <w:b w:val="1"/>
                              <w:rtl w:val="0"/>
                            </w:rPr>
                            <w:t xml:space="preserve">Application period: </w:t>
                          </w:r>
                          <w:r w:rsidDel="00000000" w:rsidR="00000000" w:rsidRPr="00000000">
                            <w:rPr>
                              <w:rtl w:val="0"/>
                            </w:rPr>
                            <w:t xml:space="preserve">1 July 2025 - 31 October 2025.</w:t>
                            <w:br w:type="textWrapping"/>
                          </w:r>
                          <w:r w:rsidDel="00000000" w:rsidR="00000000" w:rsidRPr="00000000">
                            <w:rPr>
                              <w:rtl w:val="0"/>
                            </w:rPr>
                          </w:r>
                        </w:p>
                        <w:p w:rsidR="00000000" w:rsidDel="00000000" w:rsidP="00000000" w:rsidRDefault="00000000" w:rsidRPr="00000000" w14:paraId="00000073">
                          <w:pPr>
                            <w:widowControl w:val="0"/>
                            <w:numPr>
                              <w:ilvl w:val="0"/>
                              <w:numId w:val="4"/>
                            </w:numPr>
                            <w:spacing w:line="240" w:lineRule="auto"/>
                            <w:ind w:left="720" w:hanging="360"/>
                            <w:jc w:val="both"/>
                            <w:rPr>
                              <w:b w:val="1"/>
                            </w:rPr>
                          </w:pPr>
                          <w:r w:rsidDel="00000000" w:rsidR="00000000" w:rsidRPr="00000000">
                            <w:rPr>
                              <w:b w:val="1"/>
                              <w:rtl w:val="0"/>
                            </w:rPr>
                            <w:t xml:space="preserve">Main eligibility criteria:</w:t>
                            <w:br w:type="textWrapping"/>
                          </w:r>
                          <w:r w:rsidDel="00000000" w:rsidR="00000000" w:rsidRPr="00000000">
                            <w:rPr>
                              <w:rtl w:val="0"/>
                            </w:rPr>
                            <w:t xml:space="preserve">1) At least 2 applicants per application.</w:t>
                            <w:br w:type="textWrapping"/>
                            <w:t xml:space="preserve">2) At least 1 corporate and 1 startup per application.</w:t>
                            <w:br w:type="textWrapping"/>
                            <w:t xml:space="preserve">3) Applying corporate(s) and startup(s) must be from at least two of these three regions: EU, Latin America, Caribbean (applying corporate(s) and startup(s) </w:t>
                          </w:r>
                          <w:r w:rsidDel="00000000" w:rsidR="00000000" w:rsidRPr="00000000">
                            <w:rPr>
                              <w:i w:val="1"/>
                              <w:rtl w:val="0"/>
                            </w:rPr>
                            <w:t xml:space="preserve">cannot</w:t>
                          </w:r>
                          <w:r w:rsidDel="00000000" w:rsidR="00000000" w:rsidRPr="00000000">
                            <w:rPr>
                              <w:rtl w:val="0"/>
                            </w:rPr>
                            <w:t xml:space="preserve"> be from the same region).</w:t>
                          </w:r>
                          <w:r w:rsidDel="00000000" w:rsidR="00000000" w:rsidRPr="00000000">
                            <w:rPr>
                              <w:rtl w:val="0"/>
                            </w:rPr>
                          </w:r>
                        </w:p>
                        <w:p w:rsidR="00000000" w:rsidDel="00000000" w:rsidP="00000000" w:rsidRDefault="00000000" w:rsidRPr="00000000" w14:paraId="00000074">
                          <w:pPr>
                            <w:widowControl w:val="0"/>
                            <w:spacing w:line="240" w:lineRule="auto"/>
                            <w:ind w:left="720" w:firstLine="0"/>
                            <w:jc w:val="both"/>
                            <w:rPr/>
                          </w:pPr>
                          <w:r w:rsidDel="00000000" w:rsidR="00000000" w:rsidRPr="00000000">
                            <w:rPr>
                              <w:rtl w:val="0"/>
                            </w:rPr>
                          </w:r>
                        </w:p>
                        <w:p w:rsidR="00000000" w:rsidDel="00000000" w:rsidP="00000000" w:rsidRDefault="00000000" w:rsidRPr="00000000" w14:paraId="00000075">
                          <w:pPr>
                            <w:widowControl w:val="0"/>
                            <w:numPr>
                              <w:ilvl w:val="0"/>
                              <w:numId w:val="4"/>
                            </w:numPr>
                            <w:spacing w:line="240" w:lineRule="auto"/>
                            <w:ind w:left="720" w:hanging="360"/>
                            <w:jc w:val="both"/>
                            <w:rPr>
                              <w:b w:val="1"/>
                            </w:rPr>
                          </w:pPr>
                          <w:hyperlink r:id="rId16">
                            <w:r w:rsidDel="00000000" w:rsidR="00000000" w:rsidRPr="00000000">
                              <w:rPr>
                                <w:b w:val="1"/>
                                <w:color w:val="1155cc"/>
                                <w:u w:val="single"/>
                                <w:rtl w:val="0"/>
                              </w:rPr>
                              <w:t xml:space="preserve">Matching platform</w:t>
                            </w:r>
                          </w:hyperlink>
                          <w:r w:rsidDel="00000000" w:rsidR="00000000" w:rsidRPr="00000000">
                            <w:rPr>
                              <w:rtl w:val="0"/>
                            </w:rPr>
                            <w:t xml:space="preserve"> (for corporates and startups who want to find a partner before applying to the open call and accessing the acceleration services).</w:t>
                            <w:br w:type="textWrapping"/>
                          </w:r>
                          <w:r w:rsidDel="00000000" w:rsidR="00000000" w:rsidRPr="00000000">
                            <w:rPr>
                              <w:rtl w:val="0"/>
                            </w:rPr>
                          </w:r>
                        </w:p>
                        <w:p w:rsidR="00000000" w:rsidDel="00000000" w:rsidP="00000000" w:rsidRDefault="00000000" w:rsidRPr="00000000" w14:paraId="00000076">
                          <w:pPr>
                            <w:widowControl w:val="0"/>
                            <w:numPr>
                              <w:ilvl w:val="0"/>
                              <w:numId w:val="4"/>
                            </w:numPr>
                            <w:spacing w:line="240" w:lineRule="auto"/>
                            <w:ind w:left="720" w:hanging="360"/>
                            <w:jc w:val="both"/>
                            <w:rPr>
                              <w:b w:val="1"/>
                            </w:rPr>
                          </w:pPr>
                          <w:r w:rsidDel="00000000" w:rsidR="00000000" w:rsidRPr="00000000">
                            <w:rPr>
                              <w:b w:val="1"/>
                              <w:rtl w:val="0"/>
                            </w:rPr>
                            <w:t xml:space="preserve">EU-LAC Digital Accelerator services: </w:t>
                            <w:br w:type="textWrapping"/>
                          </w:r>
                          <w:r w:rsidDel="00000000" w:rsidR="00000000" w:rsidRPr="00000000">
                            <w:rPr>
                              <w:rtl w:val="0"/>
                            </w:rPr>
                            <w:t xml:space="preserve">- </w:t>
                          </w:r>
                          <w:r w:rsidDel="00000000" w:rsidR="00000000" w:rsidRPr="00000000">
                            <w:rPr>
                              <w:i w:val="1"/>
                              <w:rtl w:val="0"/>
                            </w:rPr>
                            <w:t xml:space="preserve">Proof-of-concept</w:t>
                          </w:r>
                          <w:r w:rsidDel="00000000" w:rsidR="00000000" w:rsidRPr="00000000">
                            <w:rPr>
                              <w:rtl w:val="0"/>
                            </w:rPr>
                            <w:t xml:space="preserve"> phase: Open Innovation bootcamps, Corporate Venturing capabilities, PoC Design &amp; Prototyping, Reliability of AI solutions.</w:t>
                            <w:br w:type="textWrapping"/>
                            <w:t xml:space="preserve">- </w:t>
                          </w:r>
                          <w:r w:rsidDel="00000000" w:rsidR="00000000" w:rsidRPr="00000000">
                            <w:rPr>
                              <w:i w:val="1"/>
                              <w:rtl w:val="0"/>
                            </w:rPr>
                            <w:t xml:space="preserve">Business case</w:t>
                          </w:r>
                          <w:r w:rsidDel="00000000" w:rsidR="00000000" w:rsidRPr="00000000">
                            <w:rPr>
                              <w:rtl w:val="0"/>
                            </w:rPr>
                            <w:t xml:space="preserve"> phase: Business model design, International growth and soft-landing, IP Management, Product roadmap &amp; digital skills.</w:t>
                            <w:br w:type="textWrapping"/>
                            <w:t xml:space="preserve">-</w:t>
                          </w:r>
                          <w:r w:rsidDel="00000000" w:rsidR="00000000" w:rsidRPr="00000000">
                            <w:rPr>
                              <w:i w:val="1"/>
                              <w:rtl w:val="0"/>
                            </w:rPr>
                            <w:t xml:space="preserve"> Investment &amp; Scaling</w:t>
                          </w:r>
                          <w:r w:rsidDel="00000000" w:rsidR="00000000" w:rsidRPr="00000000">
                            <w:rPr>
                              <w:rtl w:val="0"/>
                            </w:rPr>
                            <w:t xml:space="preserve"> phase: Scaling into corporate structures, Full process digitalisation, Investment Readiness &amp; Matchmaking, Access to public funding.</w:t>
                            <w:br w:type="textWrapping"/>
                          </w:r>
                          <w:r w:rsidDel="00000000" w:rsidR="00000000" w:rsidRPr="00000000">
                            <w:rPr>
                              <w:rtl w:val="0"/>
                            </w:rPr>
                          </w:r>
                        </w:p>
                        <w:p w:rsidR="00000000" w:rsidDel="00000000" w:rsidP="00000000" w:rsidRDefault="00000000" w:rsidRPr="00000000" w14:paraId="00000077">
                          <w:pPr>
                            <w:widowControl w:val="0"/>
                            <w:numPr>
                              <w:ilvl w:val="0"/>
                              <w:numId w:val="4"/>
                            </w:numPr>
                            <w:spacing w:line="240" w:lineRule="auto"/>
                            <w:ind w:left="720" w:hanging="360"/>
                            <w:jc w:val="both"/>
                            <w:rPr>
                              <w:b w:val="1"/>
                            </w:rPr>
                          </w:pPr>
                          <w:r w:rsidDel="00000000" w:rsidR="00000000" w:rsidRPr="00000000">
                            <w:rPr>
                              <w:b w:val="1"/>
                              <w:rtl w:val="0"/>
                            </w:rPr>
                            <w:t xml:space="preserve">EU-LAC Digital Accelerator grants: </w:t>
                          </w:r>
                          <w:r w:rsidDel="00000000" w:rsidR="00000000" w:rsidRPr="00000000">
                            <w:rPr>
                              <w:rtl w:val="0"/>
                            </w:rPr>
                            <w:t xml:space="preserve">Up to €10,500 for selected startups and SMEs for proof-of-concept development and execution.</w:t>
                            <w:br w:type="textWrapping"/>
                          </w:r>
                          <w:r w:rsidDel="00000000" w:rsidR="00000000" w:rsidRPr="00000000">
                            <w:rPr>
                              <w:rtl w:val="0"/>
                            </w:rPr>
                          </w:r>
                        </w:p>
                        <w:p w:rsidR="00000000" w:rsidDel="00000000" w:rsidP="00000000" w:rsidRDefault="00000000" w:rsidRPr="00000000" w14:paraId="00000078">
                          <w:pPr>
                            <w:widowControl w:val="0"/>
                            <w:numPr>
                              <w:ilvl w:val="0"/>
                              <w:numId w:val="4"/>
                            </w:numPr>
                            <w:spacing w:line="240" w:lineRule="auto"/>
                            <w:ind w:left="720" w:hanging="360"/>
                            <w:rPr>
                              <w:b w:val="1"/>
                            </w:rPr>
                          </w:pPr>
                          <w:hyperlink r:id="rId17">
                            <w:r w:rsidDel="00000000" w:rsidR="00000000" w:rsidRPr="00000000">
                              <w:rPr>
                                <w:b w:val="1"/>
                                <w:color w:val="1155cc"/>
                                <w:u w:val="single"/>
                                <w:rtl w:val="0"/>
                              </w:rPr>
                              <w:t xml:space="preserve">Application form &amp; Information</w:t>
                            </w:r>
                          </w:hyperlink>
                          <w:r w:rsidDel="00000000" w:rsidR="00000000" w:rsidRPr="00000000">
                            <w:rPr>
                              <w:b w:val="1"/>
                              <w:rtl w:val="0"/>
                            </w:rPr>
                            <w:t xml:space="preserve">.</w:t>
                          </w:r>
                        </w:p>
                      </w:tc>
                    </w:tr>
                  </w:tbl>
                </w:sdtContent>
              </w:sdt>
              <w:p w:rsidR="00000000" w:rsidDel="00000000" w:rsidP="00000000" w:rsidRDefault="00000000" w:rsidRPr="00000000" w14:paraId="00000079">
                <w:pPr>
                  <w:widowControl w:val="0"/>
                  <w:spacing w:line="240" w:lineRule="auto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7A">
      <w:pPr>
        <w:jc w:val="both"/>
        <w:rPr/>
      </w:pPr>
      <w:r w:rsidDel="00000000" w:rsidR="00000000" w:rsidRPr="00000000">
        <w:rPr>
          <w:rtl w:val="0"/>
        </w:rPr>
      </w:r>
    </w:p>
    <w:sectPr>
      <w:headerReference r:id="rId18" w:type="default"/>
      <w:headerReference r:id="rId19" w:type="first"/>
      <w:footerReference r:id="rId20" w:type="default"/>
      <w:footerReference r:id="rId21" w:type="first"/>
      <w:pgSz w:h="16834" w:w="11909" w:orient="portrait"/>
      <w:pgMar w:bottom="1440" w:top="1440" w:left="1417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D">
    <w:pPr>
      <w:jc w:val="right"/>
      <w:rPr>
        <w:color w:val="223b76"/>
      </w:rPr>
    </w:pPr>
    <w:r w:rsidDel="00000000" w:rsidR="00000000" w:rsidRPr="00000000">
      <w:rPr>
        <w:color w:val="223b7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1809750</wp:posOffset>
          </wp:positionH>
          <wp:positionV relativeFrom="paragraph">
            <wp:posOffset>18863</wp:posOffset>
          </wp:positionV>
          <wp:extent cx="790463" cy="457070"/>
          <wp:effectExtent b="0" l="0" r="0" t="0"/>
          <wp:wrapNone/>
          <wp:docPr id="33787219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8254" l="0" r="36565" t="16561"/>
                  <a:stretch>
                    <a:fillRect/>
                  </a:stretch>
                </pic:blipFill>
                <pic:spPr>
                  <a:xfrm>
                    <a:off x="0" y="0"/>
                    <a:ext cx="790463" cy="45707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56963</wp:posOffset>
          </wp:positionV>
          <wp:extent cx="1656744" cy="375112"/>
          <wp:effectExtent b="0" l="0" r="0" t="0"/>
          <wp:wrapNone/>
          <wp:docPr id="33787219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56744" cy="375112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E">
    <w:pPr>
      <w:rPr/>
    </w:pPr>
    <w:r w:rsidDel="00000000" w:rsidR="00000000" w:rsidRPr="00000000">
      <w:rPr/>
      <w:drawing>
        <wp:inline distB="114300" distT="114300" distL="114300" distR="114300">
          <wp:extent cx="1656744" cy="375112"/>
          <wp:effectExtent b="0" l="0" r="0" t="0"/>
          <wp:docPr id="33787220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56744" cy="37511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790463" cy="457070"/>
          <wp:effectExtent b="0" l="0" r="0" t="0"/>
          <wp:docPr id="33787220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18254" l="0" r="36565" t="16561"/>
                  <a:stretch>
                    <a:fillRect/>
                  </a:stretch>
                </pic:blipFill>
                <pic:spPr>
                  <a:xfrm>
                    <a:off x="0" y="0"/>
                    <a:ext cx="790463" cy="45707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B"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Rule="auto"/>
      <w:rPr>
        <w:color w:val="434343"/>
        <w:sz w:val="28"/>
        <w:szCs w:val="28"/>
      </w:rPr>
    </w:pPr>
    <w:bookmarkStart w:colFirst="0" w:colLast="0" w:name="_heading=h.uwxn32tlxdbs" w:id="0"/>
    <w:bookmarkEnd w:id="0"/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5159699</wp:posOffset>
          </wp:positionH>
          <wp:positionV relativeFrom="paragraph">
            <wp:posOffset>-228594</wp:posOffset>
          </wp:positionV>
          <wp:extent cx="571500" cy="685800"/>
          <wp:effectExtent b="0" l="0" r="0" t="0"/>
          <wp:wrapNone/>
          <wp:docPr id="33787219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7692" l="0" r="67032" t="0"/>
                  <a:stretch>
                    <a:fillRect/>
                  </a:stretch>
                </pic:blipFill>
                <pic:spPr>
                  <a:xfrm>
                    <a:off x="0" y="0"/>
                    <a:ext cx="571500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-914398</wp:posOffset>
          </wp:positionH>
          <wp:positionV relativeFrom="paragraph">
            <wp:posOffset>-448798</wp:posOffset>
          </wp:positionV>
          <wp:extent cx="7584440" cy="1225550"/>
          <wp:effectExtent b="0" l="0" r="0" t="0"/>
          <wp:wrapSquare wrapText="bothSides" distB="0" distT="0" distL="114300" distR="114300"/>
          <wp:docPr id="33787220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72252"/>
                  <a:stretch>
                    <a:fillRect/>
                  </a:stretch>
                </pic:blipFill>
                <pic:spPr>
                  <a:xfrm>
                    <a:off x="0" y="0"/>
                    <a:ext cx="7584440" cy="12255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C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-894713</wp:posOffset>
          </wp:positionH>
          <wp:positionV relativeFrom="paragraph">
            <wp:posOffset>-488313</wp:posOffset>
          </wp:positionV>
          <wp:extent cx="7584440" cy="1225550"/>
          <wp:effectExtent b="0" l="0" r="0" t="0"/>
          <wp:wrapSquare wrapText="bothSides" distB="0" distT="0" distL="114300" distR="114300"/>
          <wp:docPr id="33787220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72252"/>
                  <a:stretch>
                    <a:fillRect/>
                  </a:stretch>
                </pic:blipFill>
                <pic:spPr>
                  <a:xfrm>
                    <a:off x="0" y="0"/>
                    <a:ext cx="7584440" cy="12255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1"/>
      <w:color w:val="223b7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ind w:left="1440" w:hanging="360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Hipervnculo">
    <w:name w:val="Hyperlink"/>
    <w:basedOn w:val="Fuentedeprrafopredeter"/>
    <w:uiPriority w:val="99"/>
    <w:unhideWhenUsed w:val="1"/>
    <w:rPr>
      <w:color w:val="0000ff" w:themeColor="hyperlink"/>
      <w:u w:val="single"/>
    </w:rPr>
  </w:style>
  <w:style w:type="table" w:styleId="ad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e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0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1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2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3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4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5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6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7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8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9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a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b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c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d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e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0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1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2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3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4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5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6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7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8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9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a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b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c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d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e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0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1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2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3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4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5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6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7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8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9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a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b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c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d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e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0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1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2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3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4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5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9D5610"/>
    <w:pPr>
      <w:tabs>
        <w:tab w:val="center" w:pos="4252"/>
        <w:tab w:val="right" w:pos="8504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9D5610"/>
  </w:style>
  <w:style w:type="paragraph" w:styleId="Piedepgina">
    <w:name w:val="footer"/>
    <w:basedOn w:val="Normal"/>
    <w:link w:val="PiedepginaCar"/>
    <w:uiPriority w:val="99"/>
    <w:unhideWhenUsed w:val="1"/>
    <w:rsid w:val="009D5610"/>
    <w:pPr>
      <w:tabs>
        <w:tab w:val="center" w:pos="4252"/>
        <w:tab w:val="right" w:pos="8504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9D5610"/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hyperlink" Target="https://eulacdigitalaccelerator.com/2025/04/23/latina-tv-x-smart-protection-a-partnership-that-declares-war-on-pirated-tv-content-in-latin-america/" TargetMode="External"/><Relationship Id="rId10" Type="http://schemas.openxmlformats.org/officeDocument/2006/relationships/hyperlink" Target="https://www.smartprotection.com/" TargetMode="External"/><Relationship Id="rId21" Type="http://schemas.openxmlformats.org/officeDocument/2006/relationships/footer" Target="footer2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latina.pe/" TargetMode="External"/><Relationship Id="rId15" Type="http://schemas.openxmlformats.org/officeDocument/2006/relationships/hyperlink" Target="https://eulacdigitalaccelerator.com/matching-platform/?utm_campaign=matching-platform&amp;utm_medium=media&amp;utm_source=article" TargetMode="External"/><Relationship Id="rId14" Type="http://schemas.openxmlformats.org/officeDocument/2006/relationships/hyperlink" Target="https://youtu.be/rACsdmJEBgU?si=9v1yEsnTa0sIIUll" TargetMode="External"/><Relationship Id="rId17" Type="http://schemas.openxmlformats.org/officeDocument/2006/relationships/hyperlink" Target="https://eulacdigitalaccelerator.com/open-call/?utm_campaign=oc4&amp;utm_medium=ct-partners&amp;utm_source=article" TargetMode="External"/><Relationship Id="rId16" Type="http://schemas.openxmlformats.org/officeDocument/2006/relationships/hyperlink" Target="https://eulacdigitalaccelerator.com/matching-platform/" TargetMode="External"/><Relationship Id="rId5" Type="http://schemas.openxmlformats.org/officeDocument/2006/relationships/styles" Target="styles.xml"/><Relationship Id="rId19" Type="http://schemas.openxmlformats.org/officeDocument/2006/relationships/header" Target="header2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hyperlink" Target="https://sloanreview.mit.edu/article/the-three-internal-barriers-to-deep-tech-corporate-venturing/" TargetMode="External"/><Relationship Id="rId8" Type="http://schemas.openxmlformats.org/officeDocument/2006/relationships/hyperlink" Target="https://eulacdigitalaccelerator.com/open-call/?utm_campaign=oc4&amp;utm_medium=ct-partners&amp;utm_source=article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2BklmQXjfj5EQz4TShTBHRjJfw==">CgMxLjAaHwoBMBIaChgICVIUChJ0YWJsZS52andkZDJhazYxcjUaHwoBMRIaChgICVIUChJ0YWJsZS5jbjd0Y3g4ZjA5MjYaHwoBMhIaChgICVIUChJ0YWJsZS5pcWF6bXVqcTU0NXYaHwoBMxIaChgICVIUChJ0YWJsZS44Z3hlbXMxcTdqeTkaHwoBNBIaChgICVIUChJ0YWJsZS54YnlrZW4ydTIyaXQyDmgudXd4bjMydGx4ZGJzOAByITEyYms5aFhxSk5feWJrb3dIZDM2WHlQaGpFdmJQRzBV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2025-06-26T15:27:00Z</dcterms:created>
  <dc:creator>Julia Colomer Cuixeres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0x010100D31EA2C194541343A894398DBD3F0433</vt:lpwstr>
  </property>
  <property fmtid="{D5CDD505-2E9C-101B-9397-08002B2CF9AE}" pid="3" name="MediaServiceImageTags">
    <vt:lpwstr/>
  </property>
</Properties>
</file>