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pPr>
      <w:r w:rsidDel="00000000" w:rsidR="00000000" w:rsidRPr="00000000">
        <w:rPr>
          <w:rtl w:val="0"/>
        </w:rPr>
      </w:r>
    </w:p>
    <w:tbl>
      <w:tblPr>
        <w:tblStyle w:val="Table1"/>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widowControl w:val="0"/>
              <w:spacing w:after="240" w:before="240" w:line="240" w:lineRule="auto"/>
              <w:jc w:val="center"/>
              <w:rPr>
                <w:b w:val="1"/>
                <w:sz w:val="28"/>
                <w:szCs w:val="28"/>
              </w:rPr>
            </w:pPr>
            <w:r w:rsidDel="00000000" w:rsidR="00000000" w:rsidRPr="00000000">
              <w:rPr>
                <w:b w:val="1"/>
                <w:sz w:val="28"/>
                <w:szCs w:val="28"/>
                <w:rtl w:val="0"/>
              </w:rPr>
              <w:t xml:space="preserve">EU-LAC Digital Accelerator lanza su Convocatoria Abierta #4 para alianzas entre corporaciones y startups de Europa, América Latina y el Caribe</w:t>
            </w:r>
          </w:p>
          <w:p w:rsidR="00000000" w:rsidDel="00000000" w:rsidP="00000000" w:rsidRDefault="00000000" w:rsidRPr="00000000" w14:paraId="00000003">
            <w:pPr>
              <w:widowControl w:val="0"/>
              <w:numPr>
                <w:ilvl w:val="0"/>
                <w:numId w:val="3"/>
              </w:numPr>
              <w:spacing w:before="240" w:line="240" w:lineRule="auto"/>
              <w:ind w:left="720" w:hanging="360"/>
              <w:jc w:val="both"/>
              <w:rPr>
                <w:i w:val="1"/>
              </w:rPr>
            </w:pPr>
            <w:r w:rsidDel="00000000" w:rsidR="00000000" w:rsidRPr="00000000">
              <w:rPr>
                <w:i w:val="1"/>
                <w:rtl w:val="0"/>
              </w:rPr>
              <w:t xml:space="preserve">EU-LAC Digital Accelerator invita a aplicar a su Convocatoria Abierta #4. Las alianzas deben estar formadas por una corporación que busca resolver un desafío digital y una startup o pyme que desarrolle una solución para abordarlo.</w:t>
            </w:r>
          </w:p>
          <w:p w:rsidR="00000000" w:rsidDel="00000000" w:rsidP="00000000" w:rsidRDefault="00000000" w:rsidRPr="00000000" w14:paraId="00000004">
            <w:pPr>
              <w:widowControl w:val="0"/>
              <w:numPr>
                <w:ilvl w:val="0"/>
                <w:numId w:val="3"/>
              </w:numPr>
              <w:spacing w:line="240" w:lineRule="auto"/>
              <w:ind w:left="720" w:hanging="360"/>
              <w:jc w:val="both"/>
              <w:rPr>
                <w:i w:val="1"/>
              </w:rPr>
            </w:pPr>
            <w:r w:rsidDel="00000000" w:rsidR="00000000" w:rsidRPr="00000000">
              <w:rPr>
                <w:i w:val="1"/>
                <w:rtl w:val="0"/>
              </w:rPr>
              <w:t xml:space="preserve">En esta cuarta convocatoria, el programa abre una nueva área de oportunidad: los servicios electrónicos (e-services). No obstante, se aceptan candidaturas de todos los sectores e industrias digitales.</w:t>
            </w:r>
          </w:p>
          <w:p w:rsidR="00000000" w:rsidDel="00000000" w:rsidP="00000000" w:rsidRDefault="00000000" w:rsidRPr="00000000" w14:paraId="00000005">
            <w:pPr>
              <w:widowControl w:val="0"/>
              <w:numPr>
                <w:ilvl w:val="0"/>
                <w:numId w:val="3"/>
              </w:numPr>
              <w:spacing w:line="240" w:lineRule="auto"/>
              <w:ind w:left="720" w:hanging="360"/>
              <w:jc w:val="both"/>
              <w:rPr>
                <w:i w:val="1"/>
              </w:rPr>
            </w:pPr>
            <w:r w:rsidDel="00000000" w:rsidR="00000000" w:rsidRPr="00000000">
              <w:rPr>
                <w:i w:val="1"/>
                <w:rtl w:val="0"/>
              </w:rPr>
              <w:t xml:space="preserve">Las alianzas EU-LAC deben incluir al menos una corporación y una startup de dos de las siguientes regiones: Unión Europea, América Latina y Caribe.</w:t>
            </w:r>
          </w:p>
          <w:p w:rsidR="00000000" w:rsidDel="00000000" w:rsidP="00000000" w:rsidRDefault="00000000" w:rsidRPr="00000000" w14:paraId="00000006">
            <w:pPr>
              <w:widowControl w:val="0"/>
              <w:numPr>
                <w:ilvl w:val="0"/>
                <w:numId w:val="3"/>
              </w:numPr>
              <w:spacing w:after="240" w:line="240" w:lineRule="auto"/>
              <w:ind w:left="720" w:hanging="360"/>
              <w:jc w:val="both"/>
              <w:rPr>
                <w:i w:val="1"/>
              </w:rPr>
            </w:pPr>
            <w:r w:rsidDel="00000000" w:rsidR="00000000" w:rsidRPr="00000000">
              <w:rPr>
                <w:i w:val="1"/>
                <w:rtl w:val="0"/>
              </w:rPr>
              <w:t xml:space="preserve">Las candidaturas seleccionadas recibirán servicios de aceleración valorados en hasta 30.000 € (o 40.000 € si participa un socio del Caribe), estructurados en torno a tres pilares: prueba de concepto, caso de negocio, e inversión y escalado.</w:t>
            </w:r>
          </w:p>
          <w:p w:rsidR="00000000" w:rsidDel="00000000" w:rsidP="00000000" w:rsidRDefault="00000000" w:rsidRPr="00000000" w14:paraId="00000007">
            <w:pPr>
              <w:widowControl w:val="0"/>
              <w:spacing w:after="240" w:before="240" w:line="240" w:lineRule="auto"/>
              <w:jc w:val="both"/>
              <w:rPr>
                <w:b w:val="1"/>
                <w:sz w:val="24"/>
                <w:szCs w:val="24"/>
              </w:rPr>
            </w:pPr>
            <w:r w:rsidDel="00000000" w:rsidR="00000000" w:rsidRPr="00000000">
              <w:rPr>
                <w:b w:val="1"/>
                <w:sz w:val="24"/>
                <w:szCs w:val="24"/>
                <w:rtl w:val="0"/>
              </w:rPr>
              <w:t xml:space="preserve">Trabajando para que las alianzas entre corporaciones y startups se conviertan en historias de amor duraderas</w:t>
            </w:r>
          </w:p>
          <w:p w:rsidR="00000000" w:rsidDel="00000000" w:rsidP="00000000" w:rsidRDefault="00000000" w:rsidRPr="00000000" w14:paraId="00000008">
            <w:pPr>
              <w:widowControl w:val="0"/>
              <w:spacing w:after="240" w:before="240" w:line="240" w:lineRule="auto"/>
              <w:jc w:val="both"/>
              <w:rPr/>
            </w:pPr>
            <w:r w:rsidDel="00000000" w:rsidR="00000000" w:rsidRPr="00000000">
              <w:rPr>
                <w:rtl w:val="0"/>
              </w:rPr>
              <w:t xml:space="preserve">Según el </w:t>
            </w:r>
            <w:hyperlink r:id="rId7">
              <w:r w:rsidDel="00000000" w:rsidR="00000000" w:rsidRPr="00000000">
                <w:rPr>
                  <w:color w:val="1155cc"/>
                  <w:u w:val="single"/>
                  <w:rtl w:val="0"/>
                </w:rPr>
                <w:t xml:space="preserve">MIT Sloan Management Review</w:t>
              </w:r>
            </w:hyperlink>
            <w:r w:rsidDel="00000000" w:rsidR="00000000" w:rsidRPr="00000000">
              <w:rPr>
                <w:rtl w:val="0"/>
              </w:rPr>
              <w:t xml:space="preserve">, se estima que </w:t>
            </w:r>
            <w:r w:rsidDel="00000000" w:rsidR="00000000" w:rsidRPr="00000000">
              <w:rPr>
                <w:b w:val="1"/>
                <w:rtl w:val="0"/>
              </w:rPr>
              <w:t xml:space="preserve">7 de cada 10 colaboraciones entre corporaciones y startups no alcanzan los resultados esperados</w:t>
            </w:r>
            <w:r w:rsidDel="00000000" w:rsidR="00000000" w:rsidRPr="00000000">
              <w:rPr>
                <w:rtl w:val="0"/>
              </w:rPr>
              <w:t xml:space="preserve">. Diferentes culturas y objetivos, soluciones que no se integran en los entornos IT corporativos, falta de validación del producto antes de escalar… Son muchos los factores que explican este altísimo índice de fracaso.</w:t>
            </w:r>
          </w:p>
          <w:p w:rsidR="00000000" w:rsidDel="00000000" w:rsidP="00000000" w:rsidRDefault="00000000" w:rsidRPr="00000000" w14:paraId="00000009">
            <w:pPr>
              <w:widowControl w:val="0"/>
              <w:spacing w:after="240" w:before="240" w:line="240" w:lineRule="auto"/>
              <w:jc w:val="both"/>
              <w:rPr/>
            </w:pPr>
            <w:r w:rsidDel="00000000" w:rsidR="00000000" w:rsidRPr="00000000">
              <w:rPr>
                <w:rtl w:val="0"/>
              </w:rPr>
              <w:t xml:space="preserve">A través de un programa específico de aceleración de alianzas corporación–startup,  </w:t>
            </w:r>
            <w:r w:rsidDel="00000000" w:rsidR="00000000" w:rsidRPr="00000000">
              <w:rPr>
                <w:b w:val="1"/>
                <w:rtl w:val="0"/>
              </w:rPr>
              <w:t xml:space="preserve">EU-LAC Digital Accelerator</w:t>
            </w:r>
            <w:r w:rsidDel="00000000" w:rsidR="00000000" w:rsidRPr="00000000">
              <w:rPr>
                <w:rtl w:val="0"/>
              </w:rPr>
              <w:t xml:space="preserve"> apoya colaboraciones transfronterizas entre Europa, América Latina y el Caribe para que </w:t>
            </w:r>
            <w:r w:rsidDel="00000000" w:rsidR="00000000" w:rsidRPr="00000000">
              <w:rPr>
                <w:b w:val="1"/>
                <w:rtl w:val="0"/>
              </w:rPr>
              <w:t xml:space="preserve">alcancen sus objetivos de innovación</w:t>
            </w:r>
            <w:r w:rsidDel="00000000" w:rsidR="00000000" w:rsidRPr="00000000">
              <w:rPr>
                <w:rtl w:val="0"/>
              </w:rPr>
              <w:t xml:space="preserve">.</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sdt>
            <w:sdtPr>
              <w:lock w:val="contentLocked"/>
              <w:id w:val="740133795"/>
              <w:tag w:val="goog_rdk_0"/>
            </w:sdtPr>
            <w:sdtContent>
              <w:tbl>
                <w:tblPr>
                  <w:tblStyle w:val="Table2"/>
                  <w:tblW w:w="88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2"/>
                  <w:tblGridChange w:id="0">
                    <w:tblGrid>
                      <w:gridCol w:w="885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after="240" w:before="240" w:line="240" w:lineRule="auto"/>
                        <w:jc w:val="both"/>
                        <w:rPr>
                          <w:i w:val="1"/>
                        </w:rPr>
                      </w:pPr>
                      <w:r w:rsidDel="00000000" w:rsidR="00000000" w:rsidRPr="00000000">
                        <w:rPr>
                          <w:i w:val="1"/>
                          <w:rtl w:val="0"/>
                        </w:rPr>
                        <w:t xml:space="preserve">“Las startups permiten a las corporaciones explorar soluciones innovadoras para necesidades y problemas no resueltos. Aportan perspectivas únicas que antes no se habían considerado ni probado. Al final, esto tiene un impacto real en la cuenta de resultados, ya sea generando nuevas fuentes de ingresos o reduciendo costes.”</w:t>
                      </w:r>
                    </w:p>
                    <w:p w:rsidR="00000000" w:rsidDel="00000000" w:rsidP="00000000" w:rsidRDefault="00000000" w:rsidRPr="00000000" w14:paraId="0000000C">
                      <w:pPr>
                        <w:widowControl w:val="0"/>
                        <w:spacing w:after="240" w:before="240" w:line="240" w:lineRule="auto"/>
                        <w:jc w:val="both"/>
                        <w:rPr/>
                      </w:pPr>
                      <w:r w:rsidDel="00000000" w:rsidR="00000000" w:rsidRPr="00000000">
                        <w:rPr>
                          <w:rtl w:val="0"/>
                        </w:rPr>
                        <w:t xml:space="preserve">Miguel Rodríguez, Desarrollo de Negocio, Octantis</w:t>
                      </w:r>
                    </w:p>
                  </w:tc>
                </w:tr>
              </w:tbl>
            </w:sdtContent>
          </w:sdt>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t xml:space="preserve">Para acceder al programa de aceleración, las colaboraciones entre corporaciones y startups deben aplicar a las convocatorias abiertas organizadas por el EU-LAC Digital Accelerator.</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010">
            <w:pPr>
              <w:widowControl w:val="0"/>
              <w:spacing w:after="240" w:before="240" w:line="240" w:lineRule="auto"/>
              <w:jc w:val="both"/>
              <w:rPr>
                <w:b w:val="1"/>
                <w:sz w:val="24"/>
                <w:szCs w:val="24"/>
              </w:rPr>
            </w:pPr>
            <w:r w:rsidDel="00000000" w:rsidR="00000000" w:rsidRPr="00000000">
              <w:rPr>
                <w:b w:val="1"/>
                <w:sz w:val="24"/>
                <w:szCs w:val="24"/>
                <w:rtl w:val="0"/>
              </w:rPr>
              <w:t xml:space="preserve">Corporaciones y startups invitadas a resolver desafíos en e-services (pero no únicamente)</w:t>
            </w:r>
          </w:p>
          <w:p w:rsidR="00000000" w:rsidDel="00000000" w:rsidP="00000000" w:rsidRDefault="00000000" w:rsidRPr="00000000" w14:paraId="00000011">
            <w:pPr>
              <w:widowControl w:val="0"/>
              <w:spacing w:after="240" w:before="240" w:line="240" w:lineRule="auto"/>
              <w:jc w:val="both"/>
              <w:rPr/>
            </w:pPr>
            <w:r w:rsidDel="00000000" w:rsidR="00000000" w:rsidRPr="00000000">
              <w:rPr>
                <w:rtl w:val="0"/>
              </w:rPr>
              <w:t xml:space="preserve">La </w:t>
            </w:r>
            <w:hyperlink r:id="rId8">
              <w:r w:rsidDel="00000000" w:rsidR="00000000" w:rsidRPr="00000000">
                <w:rPr>
                  <w:b w:val="1"/>
                  <w:color w:val="1155cc"/>
                  <w:u w:val="single"/>
                  <w:rtl w:val="0"/>
                </w:rPr>
                <w:t xml:space="preserve">Convocatoria Abierta #4</w:t>
              </w:r>
            </w:hyperlink>
            <w:r w:rsidDel="00000000" w:rsidR="00000000" w:rsidRPr="00000000">
              <w:rPr>
                <w:rtl w:val="0"/>
              </w:rPr>
              <w:t xml:space="preserve"> para alianzas entre corporaciones y startups estará disponible desde el </w:t>
            </w:r>
            <w:r w:rsidDel="00000000" w:rsidR="00000000" w:rsidRPr="00000000">
              <w:rPr>
                <w:b w:val="1"/>
                <w:rtl w:val="0"/>
              </w:rPr>
              <w:t xml:space="preserve">1 de julio de 2025 al 31 de octubre de 2025</w:t>
            </w:r>
            <w:r w:rsidDel="00000000" w:rsidR="00000000" w:rsidRPr="00000000">
              <w:rPr>
                <w:rtl w:val="0"/>
              </w:rPr>
              <w:t xml:space="preserve">.</w:t>
            </w:r>
          </w:p>
          <w:p w:rsidR="00000000" w:rsidDel="00000000" w:rsidP="00000000" w:rsidRDefault="00000000" w:rsidRPr="00000000" w14:paraId="00000012">
            <w:pPr>
              <w:widowControl w:val="0"/>
              <w:spacing w:after="240" w:before="240" w:line="240" w:lineRule="auto"/>
              <w:jc w:val="both"/>
              <w:rPr/>
            </w:pPr>
            <w:r w:rsidDel="00000000" w:rsidR="00000000" w:rsidRPr="00000000">
              <w:rPr>
                <w:rtl w:val="0"/>
              </w:rPr>
              <w:t xml:space="preserve">Las alianzas que apliquen deben incluir:</w:t>
            </w:r>
          </w:p>
          <w:p w:rsidR="00000000" w:rsidDel="00000000" w:rsidP="00000000" w:rsidRDefault="00000000" w:rsidRPr="00000000" w14:paraId="00000013">
            <w:pPr>
              <w:widowControl w:val="0"/>
              <w:numPr>
                <w:ilvl w:val="0"/>
                <w:numId w:val="1"/>
              </w:numPr>
              <w:spacing w:before="240" w:line="240" w:lineRule="auto"/>
              <w:ind w:left="720" w:hanging="360"/>
              <w:rPr/>
            </w:pPr>
            <w:r w:rsidDel="00000000" w:rsidR="00000000" w:rsidRPr="00000000">
              <w:rPr>
                <w:rtl w:val="0"/>
              </w:rPr>
              <w:t xml:space="preserve">Una corporación que enfrente un desafío interno o relacionado con sus clientes.</w:t>
              <w:br w:type="textWrapping"/>
            </w:r>
          </w:p>
          <w:p w:rsidR="00000000" w:rsidDel="00000000" w:rsidP="00000000" w:rsidRDefault="00000000" w:rsidRPr="00000000" w14:paraId="00000014">
            <w:pPr>
              <w:widowControl w:val="0"/>
              <w:numPr>
                <w:ilvl w:val="0"/>
                <w:numId w:val="1"/>
              </w:numPr>
              <w:spacing w:after="240" w:line="240" w:lineRule="auto"/>
              <w:ind w:left="720" w:hanging="360"/>
              <w:rPr/>
            </w:pPr>
            <w:r w:rsidDel="00000000" w:rsidR="00000000" w:rsidRPr="00000000">
              <w:rPr>
                <w:rtl w:val="0"/>
              </w:rPr>
              <w:t xml:space="preserve">Una startup o pyme que ofrezca una solución digital para abordar ese desafío.</w:t>
            </w:r>
          </w:p>
          <w:p w:rsidR="00000000" w:rsidDel="00000000" w:rsidP="00000000" w:rsidRDefault="00000000" w:rsidRPr="00000000" w14:paraId="00000015">
            <w:pPr>
              <w:widowControl w:val="0"/>
              <w:spacing w:after="240" w:before="240" w:line="240" w:lineRule="auto"/>
              <w:jc w:val="both"/>
              <w:rPr/>
            </w:pPr>
            <w:r w:rsidDel="00000000" w:rsidR="00000000" w:rsidRPr="00000000">
              <w:rPr>
                <w:rtl w:val="0"/>
              </w:rPr>
              <w:t xml:space="preserve">En esta cuarta convocatoria, EU-LAC Digital Accelerator amplía su enfoque hacia los servicios electrónicos (e-services).</w:t>
            </w:r>
          </w:p>
          <w:p w:rsidR="00000000" w:rsidDel="00000000" w:rsidP="00000000" w:rsidRDefault="00000000" w:rsidRPr="00000000" w14:paraId="00000016">
            <w:pPr>
              <w:widowControl w:val="0"/>
              <w:spacing w:after="240" w:before="240" w:line="240" w:lineRule="auto"/>
              <w:jc w:val="both"/>
              <w:rPr/>
            </w:pPr>
            <w:r w:rsidDel="00000000" w:rsidR="00000000" w:rsidRPr="00000000">
              <w:rPr>
                <w:rtl w:val="0"/>
              </w:rPr>
              <w:t xml:space="preserve">Los </w:t>
            </w:r>
            <w:r w:rsidDel="00000000" w:rsidR="00000000" w:rsidRPr="00000000">
              <w:rPr>
                <w:i w:val="1"/>
                <w:rtl w:val="0"/>
              </w:rPr>
              <w:t xml:space="preserve">e-services</w:t>
            </w:r>
            <w:r w:rsidDel="00000000" w:rsidR="00000000" w:rsidRPr="00000000">
              <w:rPr>
                <w:rtl w:val="0"/>
              </w:rPr>
              <w:t xml:space="preserve"> se refieren a cualquier servicio comercial que pueda gestionarse o completarse de forma electrónica, sin necesidad de presencia física. Por ejemplo:</w:t>
            </w:r>
          </w:p>
          <w:p w:rsidR="00000000" w:rsidDel="00000000" w:rsidP="00000000" w:rsidRDefault="00000000" w:rsidRPr="00000000" w14:paraId="00000017">
            <w:pPr>
              <w:widowControl w:val="0"/>
              <w:numPr>
                <w:ilvl w:val="0"/>
                <w:numId w:val="12"/>
              </w:numPr>
              <w:spacing w:before="240" w:line="240" w:lineRule="auto"/>
              <w:ind w:left="720" w:hanging="360"/>
              <w:jc w:val="both"/>
              <w:rPr/>
            </w:pPr>
            <w:r w:rsidDel="00000000" w:rsidR="00000000" w:rsidRPr="00000000">
              <w:rPr>
                <w:b w:val="1"/>
                <w:rtl w:val="0"/>
              </w:rPr>
              <w:t xml:space="preserve">Aplicaciones de interacción para fans de clubes de fútbol: </w:t>
            </w:r>
            <w:r w:rsidDel="00000000" w:rsidR="00000000" w:rsidRPr="00000000">
              <w:rPr>
                <w:rtl w:val="0"/>
              </w:rPr>
              <w:t xml:space="preserve">Los aficionados pueden interactuar con el equipo, responder encuestas, recibir ofertas de merchandising y acceder a contenido exclusivo del club.</w:t>
              <w:br w:type="textWrapping"/>
            </w:r>
          </w:p>
          <w:p w:rsidR="00000000" w:rsidDel="00000000" w:rsidP="00000000" w:rsidRDefault="00000000" w:rsidRPr="00000000" w14:paraId="00000018">
            <w:pPr>
              <w:widowControl w:val="0"/>
              <w:numPr>
                <w:ilvl w:val="0"/>
                <w:numId w:val="12"/>
              </w:numPr>
              <w:spacing w:line="240" w:lineRule="auto"/>
              <w:ind w:left="720" w:hanging="360"/>
              <w:jc w:val="both"/>
              <w:rPr/>
            </w:pPr>
            <w:r w:rsidDel="00000000" w:rsidR="00000000" w:rsidRPr="00000000">
              <w:rPr>
                <w:b w:val="1"/>
                <w:rtl w:val="0"/>
              </w:rPr>
              <w:t xml:space="preserve">Exposiciones virtuales para museos: </w:t>
            </w:r>
            <w:r w:rsidDel="00000000" w:rsidR="00000000" w:rsidRPr="00000000">
              <w:rPr>
                <w:rtl w:val="0"/>
              </w:rPr>
              <w:t xml:space="preserve">Las instituciones culturales pueden ofrecer visitas virtuales a sus exposiciones a través de sus páginas web o apps, atrayendo a nuevos visitantes.</w:t>
              <w:br w:type="textWrapping"/>
            </w:r>
          </w:p>
          <w:p w:rsidR="00000000" w:rsidDel="00000000" w:rsidP="00000000" w:rsidRDefault="00000000" w:rsidRPr="00000000" w14:paraId="00000019">
            <w:pPr>
              <w:widowControl w:val="0"/>
              <w:numPr>
                <w:ilvl w:val="0"/>
                <w:numId w:val="12"/>
              </w:numPr>
              <w:spacing w:after="240" w:line="240" w:lineRule="auto"/>
              <w:ind w:left="720" w:hanging="360"/>
              <w:jc w:val="both"/>
              <w:rPr/>
            </w:pPr>
            <w:r w:rsidDel="00000000" w:rsidR="00000000" w:rsidRPr="00000000">
              <w:rPr>
                <w:b w:val="1"/>
                <w:rtl w:val="0"/>
              </w:rPr>
              <w:t xml:space="preserve">Onboarding digital para clientes bancarios:</w:t>
            </w:r>
            <w:r w:rsidDel="00000000" w:rsidR="00000000" w:rsidRPr="00000000">
              <w:rPr>
                <w:rtl w:val="0"/>
              </w:rPr>
              <w:t xml:space="preserve"> Utilizando inteligencia artificial, aprendizaje automático y verificación biométrica, los bancos pueden permitir la apertura de cuentas en pocos minutos, sin necesidad de acudir a una sucursal.</w:t>
              <w:br w:type="textWrapping"/>
            </w:r>
          </w:p>
          <w:p w:rsidR="00000000" w:rsidDel="00000000" w:rsidP="00000000" w:rsidRDefault="00000000" w:rsidRPr="00000000" w14:paraId="0000001A">
            <w:pPr>
              <w:widowControl w:val="0"/>
              <w:spacing w:after="240" w:before="240" w:line="240" w:lineRule="auto"/>
              <w:jc w:val="both"/>
              <w:rPr/>
            </w:pPr>
            <w:r w:rsidDel="00000000" w:rsidR="00000000" w:rsidRPr="00000000">
              <w:rPr>
                <w:rtl w:val="0"/>
              </w:rPr>
              <w:t xml:space="preserve">Sin embargo, la </w:t>
            </w:r>
            <w:r w:rsidDel="00000000" w:rsidR="00000000" w:rsidRPr="00000000">
              <w:rPr>
                <w:b w:val="1"/>
                <w:rtl w:val="0"/>
              </w:rPr>
              <w:t xml:space="preserve">Convocatoria #4 no se limita únicamente a los e-services</w:t>
            </w:r>
            <w:r w:rsidDel="00000000" w:rsidR="00000000" w:rsidRPr="00000000">
              <w:rPr>
                <w:rtl w:val="0"/>
              </w:rPr>
              <w:t xml:space="preserve">. Las alianzas entre corporaciones y startups de </w:t>
            </w:r>
            <w:r w:rsidDel="00000000" w:rsidR="00000000" w:rsidRPr="00000000">
              <w:rPr>
                <w:b w:val="1"/>
                <w:rtl w:val="0"/>
              </w:rPr>
              <w:t xml:space="preserve">cualquier sector</w:t>
            </w:r>
            <w:r w:rsidDel="00000000" w:rsidR="00000000" w:rsidRPr="00000000">
              <w:rPr>
                <w:rtl w:val="0"/>
              </w:rPr>
              <w:t xml:space="preserve"> pueden aplicar. </w:t>
            </w:r>
          </w:p>
          <w:p w:rsidR="00000000" w:rsidDel="00000000" w:rsidP="00000000" w:rsidRDefault="00000000" w:rsidRPr="00000000" w14:paraId="0000001B">
            <w:pPr>
              <w:widowControl w:val="0"/>
              <w:spacing w:after="240" w:before="240" w:line="240" w:lineRule="auto"/>
              <w:jc w:val="both"/>
              <w:rPr>
                <w:b w:val="1"/>
                <w:sz w:val="24"/>
                <w:szCs w:val="24"/>
              </w:rPr>
            </w:pPr>
            <w:r w:rsidDel="00000000" w:rsidR="00000000" w:rsidRPr="00000000">
              <w:rPr>
                <w:b w:val="1"/>
                <w:sz w:val="24"/>
                <w:szCs w:val="24"/>
                <w:rtl w:val="0"/>
              </w:rPr>
              <w:t xml:space="preserve">Una vez seleccionadas, las alianzas recibirán servicios de aceleración a la carta</w:t>
            </w:r>
          </w:p>
          <w:p w:rsidR="00000000" w:rsidDel="00000000" w:rsidP="00000000" w:rsidRDefault="00000000" w:rsidRPr="00000000" w14:paraId="0000001C">
            <w:pPr>
              <w:widowControl w:val="0"/>
              <w:spacing w:after="240" w:before="240" w:line="240" w:lineRule="auto"/>
              <w:jc w:val="both"/>
              <w:rPr/>
            </w:pPr>
            <w:r w:rsidDel="00000000" w:rsidR="00000000" w:rsidRPr="00000000">
              <w:rPr>
                <w:rtl w:val="0"/>
              </w:rPr>
              <w:t xml:space="preserve">Analizando de cerca los desafíos comunes que enfrentan corporaciones y startups al colaborar, el </w:t>
            </w:r>
            <w:r w:rsidDel="00000000" w:rsidR="00000000" w:rsidRPr="00000000">
              <w:rPr>
                <w:b w:val="1"/>
                <w:rtl w:val="0"/>
              </w:rPr>
              <w:t xml:space="preserve">EU-LAC Digital Accelerator</w:t>
            </w:r>
            <w:r w:rsidDel="00000000" w:rsidR="00000000" w:rsidRPr="00000000">
              <w:rPr>
                <w:rtl w:val="0"/>
              </w:rPr>
              <w:t xml:space="preserve"> ha diseñado un </w:t>
            </w:r>
            <w:r w:rsidDel="00000000" w:rsidR="00000000" w:rsidRPr="00000000">
              <w:rPr>
                <w:b w:val="1"/>
                <w:rtl w:val="0"/>
              </w:rPr>
              <w:t xml:space="preserve">programa de aceleración de seis meses</w:t>
            </w:r>
            <w:r w:rsidDel="00000000" w:rsidR="00000000" w:rsidRPr="00000000">
              <w:rPr>
                <w:rtl w:val="0"/>
              </w:rPr>
              <w:t xml:space="preserve">.</w:t>
            </w:r>
          </w:p>
          <w:p w:rsidR="00000000" w:rsidDel="00000000" w:rsidP="00000000" w:rsidRDefault="00000000" w:rsidRPr="00000000" w14:paraId="0000001D">
            <w:pPr>
              <w:widowControl w:val="0"/>
              <w:spacing w:after="240" w:before="240" w:line="240" w:lineRule="auto"/>
              <w:jc w:val="both"/>
              <w:rPr/>
            </w:pPr>
            <w:r w:rsidDel="00000000" w:rsidR="00000000" w:rsidRPr="00000000">
              <w:rPr>
                <w:rtl w:val="0"/>
              </w:rPr>
              <w:t xml:space="preserve">El programa se centra en </w:t>
            </w:r>
            <w:r w:rsidDel="00000000" w:rsidR="00000000" w:rsidRPr="00000000">
              <w:rPr>
                <w:b w:val="1"/>
                <w:rtl w:val="0"/>
              </w:rPr>
              <w:t xml:space="preserve">tres casos de uso</w:t>
            </w:r>
            <w:r w:rsidDel="00000000" w:rsidR="00000000" w:rsidRPr="00000000">
              <w:rPr>
                <w:rtl w:val="0"/>
              </w:rPr>
              <w:t xml:space="preserve">:</w:t>
            </w:r>
          </w:p>
          <w:p w:rsidR="00000000" w:rsidDel="00000000" w:rsidP="00000000" w:rsidRDefault="00000000" w:rsidRPr="00000000" w14:paraId="0000001E">
            <w:pPr>
              <w:widowControl w:val="0"/>
              <w:numPr>
                <w:ilvl w:val="0"/>
                <w:numId w:val="8"/>
              </w:numPr>
              <w:spacing w:before="240" w:line="240" w:lineRule="auto"/>
              <w:ind w:left="720" w:hanging="360"/>
              <w:rPr/>
            </w:pPr>
            <w:r w:rsidDel="00000000" w:rsidR="00000000" w:rsidRPr="00000000">
              <w:rPr>
                <w:rtl w:val="0"/>
              </w:rPr>
              <w:t xml:space="preserve">Una corporación y una startup desarrollan conjuntamente un nuevo producto adaptado a las necesidades de la corporación, aprovechando la experiencia tecnológica de la startup.</w:t>
              <w:br w:type="textWrapping"/>
            </w:r>
          </w:p>
          <w:p w:rsidR="00000000" w:rsidDel="00000000" w:rsidP="00000000" w:rsidRDefault="00000000" w:rsidRPr="00000000" w14:paraId="0000001F">
            <w:pPr>
              <w:widowControl w:val="0"/>
              <w:numPr>
                <w:ilvl w:val="0"/>
                <w:numId w:val="8"/>
              </w:numPr>
              <w:spacing w:line="240" w:lineRule="auto"/>
              <w:ind w:left="720" w:hanging="360"/>
              <w:rPr/>
            </w:pPr>
            <w:r w:rsidDel="00000000" w:rsidR="00000000" w:rsidRPr="00000000">
              <w:rPr>
                <w:rtl w:val="0"/>
              </w:rPr>
              <w:t xml:space="preserve">Una startup integra su solución para mejorar un proceso interno de la corporación, validando su implementación y escalabilidad.</w:t>
              <w:br w:type="textWrapping"/>
            </w:r>
          </w:p>
          <w:p w:rsidR="00000000" w:rsidDel="00000000" w:rsidP="00000000" w:rsidRDefault="00000000" w:rsidRPr="00000000" w14:paraId="00000020">
            <w:pPr>
              <w:widowControl w:val="0"/>
              <w:numPr>
                <w:ilvl w:val="0"/>
                <w:numId w:val="8"/>
              </w:numPr>
              <w:spacing w:after="240" w:line="240" w:lineRule="auto"/>
              <w:ind w:left="720" w:hanging="360"/>
              <w:rPr/>
            </w:pPr>
            <w:r w:rsidDel="00000000" w:rsidR="00000000" w:rsidRPr="00000000">
              <w:rPr>
                <w:rtl w:val="0"/>
              </w:rPr>
              <w:t xml:space="preserve">Uno de los socios ayuda al otro a adaptar un producto e ingresar con éxito en su mercado local y generar ventas.</w:t>
              <w:br w:type="textWrapping"/>
            </w:r>
          </w:p>
          <w:p w:rsidR="00000000" w:rsidDel="00000000" w:rsidP="00000000" w:rsidRDefault="00000000" w:rsidRPr="00000000" w14:paraId="00000021">
            <w:pPr>
              <w:widowControl w:val="0"/>
              <w:spacing w:after="240" w:before="240" w:line="240" w:lineRule="auto"/>
              <w:jc w:val="both"/>
              <w:rPr/>
            </w:pPr>
            <w:r w:rsidDel="00000000" w:rsidR="00000000" w:rsidRPr="00000000">
              <w:rPr>
                <w:rtl w:val="0"/>
              </w:rPr>
              <w:t xml:space="preserve">Para abordar estos distintos escenarios, el EU-LAC Digital Accelerator ha agrupado sus servicios de aceleración en </w:t>
            </w:r>
            <w:r w:rsidDel="00000000" w:rsidR="00000000" w:rsidRPr="00000000">
              <w:rPr>
                <w:b w:val="1"/>
                <w:rtl w:val="0"/>
              </w:rPr>
              <w:t xml:space="preserve">tres pilares</w:t>
            </w:r>
            <w:r w:rsidDel="00000000" w:rsidR="00000000" w:rsidRPr="00000000">
              <w:rPr>
                <w:rtl w:val="0"/>
              </w:rPr>
              <w:t xml:space="preserve">:</w:t>
            </w:r>
          </w:p>
          <w:p w:rsidR="00000000" w:rsidDel="00000000" w:rsidP="00000000" w:rsidRDefault="00000000" w:rsidRPr="00000000" w14:paraId="00000022">
            <w:pPr>
              <w:widowControl w:val="0"/>
              <w:numPr>
                <w:ilvl w:val="0"/>
                <w:numId w:val="9"/>
              </w:numPr>
              <w:spacing w:after="240" w:before="240" w:line="240" w:lineRule="auto"/>
              <w:ind w:left="720" w:hanging="360"/>
              <w:jc w:val="both"/>
              <w:rPr/>
            </w:pPr>
            <w:r w:rsidDel="00000000" w:rsidR="00000000" w:rsidRPr="00000000">
              <w:rPr>
                <w:b w:val="1"/>
                <w:rtl w:val="0"/>
              </w:rPr>
              <w:t xml:space="preserve">Prueba de concepto</w:t>
            </w:r>
            <w:r w:rsidDel="00000000" w:rsidR="00000000" w:rsidRPr="00000000">
              <w:rPr>
                <w:rtl w:val="0"/>
              </w:rPr>
              <w:t xml:space="preserve">, para validar la viabilidad tecnológica de la solución y asegurar que responde a una necesidad real.</w:t>
            </w:r>
          </w:p>
          <w:p w:rsidR="00000000" w:rsidDel="00000000" w:rsidP="00000000" w:rsidRDefault="00000000" w:rsidRPr="00000000" w14:paraId="00000023">
            <w:pPr>
              <w:widowControl w:val="0"/>
              <w:spacing w:after="240" w:before="240" w:line="240" w:lineRule="auto"/>
              <w:jc w:val="both"/>
              <w:rPr/>
            </w:pPr>
            <w:r w:rsidDel="00000000" w:rsidR="00000000" w:rsidRPr="00000000">
              <w:rPr>
                <w:rtl w:val="0"/>
              </w:rPr>
            </w:r>
          </w:p>
          <w:sdt>
            <w:sdtPr>
              <w:lock w:val="contentLocked"/>
              <w:id w:val="-1609579933"/>
              <w:tag w:val="goog_rdk_1"/>
            </w:sdtPr>
            <w:sdtContent>
              <w:tbl>
                <w:tblPr>
                  <w:tblStyle w:val="Table3"/>
                  <w:tblW w:w="88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2"/>
                  <w:tblGridChange w:id="0">
                    <w:tblGrid>
                      <w:gridCol w:w="8852"/>
                    </w:tblGrid>
                  </w:tblGridChange>
                </w:tblGrid>
                <w:tr>
                  <w:trPr>
                    <w:cantSplit w:val="0"/>
                    <w:trHeight w:val="217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after="240" w:before="240" w:line="240" w:lineRule="auto"/>
                        <w:jc w:val="both"/>
                        <w:rPr>
                          <w:i w:val="1"/>
                        </w:rPr>
                      </w:pPr>
                      <w:r w:rsidDel="00000000" w:rsidR="00000000" w:rsidRPr="00000000">
                        <w:rPr>
                          <w:i w:val="1"/>
                          <w:rtl w:val="0"/>
                        </w:rPr>
                        <w:t xml:space="preserve">“Primero ayudamos a las alianzas a reducir la incertidumbre durante el desarrollo de su innovación, mediante un servicio de prueba de concepto que permite determinar la viabilidad del proyecto. Este servicio demuestra tanto el potencial de los conceptos novedosos como los retos que deben superarse.”</w:t>
                      </w:r>
                    </w:p>
                    <w:p w:rsidR="00000000" w:rsidDel="00000000" w:rsidP="00000000" w:rsidRDefault="00000000" w:rsidRPr="00000000" w14:paraId="00000025">
                      <w:pPr>
                        <w:widowControl w:val="0"/>
                        <w:spacing w:after="240" w:before="240" w:line="240" w:lineRule="auto"/>
                        <w:rPr/>
                      </w:pPr>
                      <w:r w:rsidDel="00000000" w:rsidR="00000000" w:rsidRPr="00000000">
                        <w:rPr>
                          <w:rtl w:val="0"/>
                        </w:rPr>
                        <w:t xml:space="preserve">Txomin Rodríguez, Desarrollo de Producto y Negocio, Octantis</w:t>
                      </w:r>
                    </w:p>
                  </w:tc>
                </w:tr>
              </w:tbl>
            </w:sdtContent>
          </w:sdt>
          <w:p w:rsidR="00000000" w:rsidDel="00000000" w:rsidP="00000000" w:rsidRDefault="00000000" w:rsidRPr="00000000" w14:paraId="00000026">
            <w:pPr>
              <w:widowControl w:val="0"/>
              <w:numPr>
                <w:ilvl w:val="0"/>
                <w:numId w:val="11"/>
              </w:numPr>
              <w:spacing w:before="240" w:line="240" w:lineRule="auto"/>
              <w:ind w:left="720" w:hanging="360"/>
              <w:jc w:val="both"/>
              <w:rPr/>
            </w:pPr>
            <w:r w:rsidDel="00000000" w:rsidR="00000000" w:rsidRPr="00000000">
              <w:rPr>
                <w:b w:val="1"/>
                <w:rtl w:val="0"/>
              </w:rPr>
              <w:t xml:space="preserve">Caso de negocio</w:t>
            </w:r>
            <w:r w:rsidDel="00000000" w:rsidR="00000000" w:rsidRPr="00000000">
              <w:rPr>
                <w:rtl w:val="0"/>
              </w:rPr>
              <w:t xml:space="preserve">, para construir un modelo que genere ingresos y establecer una estrategia sólida de expansión internacional.</w:t>
            </w:r>
          </w:p>
          <w:p w:rsidR="00000000" w:rsidDel="00000000" w:rsidP="00000000" w:rsidRDefault="00000000" w:rsidRPr="00000000" w14:paraId="00000027">
            <w:pPr>
              <w:widowControl w:val="0"/>
              <w:numPr>
                <w:ilvl w:val="0"/>
                <w:numId w:val="11"/>
              </w:numPr>
              <w:spacing w:after="240" w:line="240" w:lineRule="auto"/>
              <w:ind w:left="720" w:hanging="360"/>
              <w:jc w:val="both"/>
              <w:rPr/>
            </w:pPr>
            <w:r w:rsidDel="00000000" w:rsidR="00000000" w:rsidRPr="00000000">
              <w:rPr>
                <w:b w:val="1"/>
                <w:rtl w:val="0"/>
              </w:rPr>
              <w:t xml:space="preserve">Inversión y escalado</w:t>
            </w:r>
            <w:r w:rsidDel="00000000" w:rsidR="00000000" w:rsidRPr="00000000">
              <w:rPr>
                <w:rtl w:val="0"/>
              </w:rPr>
              <w:t xml:space="preserve">, para producir y vender a escala, y preparar la colaboración para atraer inversiones que potencien la solución desarrollada.</w:t>
            </w:r>
          </w:p>
          <w:p w:rsidR="00000000" w:rsidDel="00000000" w:rsidP="00000000" w:rsidRDefault="00000000" w:rsidRPr="00000000" w14:paraId="00000028">
            <w:pPr>
              <w:widowControl w:val="0"/>
              <w:spacing w:after="240" w:before="240" w:line="240" w:lineRule="auto"/>
              <w:jc w:val="both"/>
              <w:rPr/>
            </w:pPr>
            <w:r w:rsidDel="00000000" w:rsidR="00000000" w:rsidRPr="00000000">
              <w:rPr>
                <w:rtl w:val="0"/>
              </w:rPr>
              <w:t xml:space="preserve">Una vez seleccionadas, las alianzas entre corporaciones y startups </w:t>
            </w:r>
            <w:r w:rsidDel="00000000" w:rsidR="00000000" w:rsidRPr="00000000">
              <w:rPr>
                <w:b w:val="1"/>
                <w:rtl w:val="0"/>
              </w:rPr>
              <w:t xml:space="preserve">definen junto al equipo de expertos del programa</w:t>
            </w:r>
            <w:r w:rsidDel="00000000" w:rsidR="00000000" w:rsidRPr="00000000">
              <w:rPr>
                <w:rtl w:val="0"/>
              </w:rPr>
              <w:t xml:space="preserve"> los servicios más adecuados para su caso.</w:t>
            </w:r>
          </w:p>
          <w:p w:rsidR="00000000" w:rsidDel="00000000" w:rsidP="00000000" w:rsidRDefault="00000000" w:rsidRPr="00000000" w14:paraId="00000029">
            <w:pPr>
              <w:widowControl w:val="0"/>
              <w:spacing w:after="240" w:before="240" w:line="240" w:lineRule="auto"/>
              <w:jc w:val="both"/>
              <w:rPr>
                <w:b w:val="1"/>
              </w:rPr>
            </w:pPr>
            <w:r w:rsidDel="00000000" w:rsidR="00000000" w:rsidRPr="00000000">
              <w:rPr>
                <w:rtl w:val="0"/>
              </w:rPr>
              <w:t xml:space="preserve">Al finalizar el programa, la alianza habrá desarrollado un </w:t>
            </w:r>
            <w:r w:rsidDel="00000000" w:rsidR="00000000" w:rsidRPr="00000000">
              <w:rPr>
                <w:b w:val="1"/>
                <w:rtl w:val="0"/>
              </w:rPr>
              <w:t xml:space="preserve">producto o servicio que resuelve un problema real y estará casi listo para su comercialización.</w:t>
            </w:r>
          </w:p>
          <w:p w:rsidR="00000000" w:rsidDel="00000000" w:rsidP="00000000" w:rsidRDefault="00000000" w:rsidRPr="00000000" w14:paraId="0000002A">
            <w:pPr>
              <w:widowControl w:val="0"/>
              <w:spacing w:after="240" w:before="240" w:line="240" w:lineRule="auto"/>
              <w:jc w:val="both"/>
              <w:rPr>
                <w:b w:val="1"/>
                <w:sz w:val="24"/>
                <w:szCs w:val="24"/>
              </w:rPr>
            </w:pPr>
            <w:r w:rsidDel="00000000" w:rsidR="00000000" w:rsidRPr="00000000">
              <w:rPr>
                <w:b w:val="1"/>
                <w:sz w:val="24"/>
                <w:szCs w:val="24"/>
                <w:rtl w:val="0"/>
              </w:rPr>
              <w:t xml:space="preserve">Novedad 2025: hasta 10.500 € en subvenciones para startups y pymes seleccionadas, destinados a apoyar el desarrollo y la ejecución de la prueba de concepto.</w:t>
            </w:r>
          </w:p>
          <w:p w:rsidR="00000000" w:rsidDel="00000000" w:rsidP="00000000" w:rsidRDefault="00000000" w:rsidRPr="00000000" w14:paraId="0000002B">
            <w:pPr>
              <w:widowControl w:val="0"/>
              <w:spacing w:after="240" w:before="240" w:line="240" w:lineRule="auto"/>
              <w:jc w:val="both"/>
              <w:rPr/>
            </w:pPr>
            <w:r w:rsidDel="00000000" w:rsidR="00000000" w:rsidRPr="00000000">
              <w:rPr>
                <w:rtl w:val="0"/>
              </w:rPr>
              <w:t xml:space="preserve">En mayo de 2025, EU-LAC Digital Accelerator habilitó  hasta 10.500 € en subvenciones para startups y pymes seleccionadas:</w:t>
            </w:r>
          </w:p>
          <w:p w:rsidR="00000000" w:rsidDel="00000000" w:rsidP="00000000" w:rsidRDefault="00000000" w:rsidRPr="00000000" w14:paraId="0000002C">
            <w:pPr>
              <w:widowControl w:val="0"/>
              <w:numPr>
                <w:ilvl w:val="0"/>
                <w:numId w:val="5"/>
              </w:numPr>
              <w:spacing w:before="240" w:line="240" w:lineRule="auto"/>
              <w:ind w:left="720" w:hanging="360"/>
              <w:rPr/>
            </w:pPr>
            <w:r w:rsidDel="00000000" w:rsidR="00000000" w:rsidRPr="00000000">
              <w:rPr>
                <w:b w:val="1"/>
                <w:rtl w:val="0"/>
              </w:rPr>
              <w:t xml:space="preserve">7.000 €</w:t>
            </w:r>
            <w:r w:rsidDel="00000000" w:rsidR="00000000" w:rsidRPr="00000000">
              <w:rPr>
                <w:rtl w:val="0"/>
              </w:rPr>
              <w:t xml:space="preserve"> para el desarrollo de la </w:t>
            </w:r>
            <w:r w:rsidDel="00000000" w:rsidR="00000000" w:rsidRPr="00000000">
              <w:rPr>
                <w:b w:val="1"/>
                <w:rtl w:val="0"/>
              </w:rPr>
              <w:t xml:space="preserve">prueba de concepto</w:t>
            </w:r>
            <w:r w:rsidDel="00000000" w:rsidR="00000000" w:rsidRPr="00000000">
              <w:rPr>
                <w:rtl w:val="0"/>
              </w:rPr>
              <w:t xml:space="preserve">.</w:t>
              <w:br w:type="textWrapping"/>
            </w:r>
          </w:p>
          <w:p w:rsidR="00000000" w:rsidDel="00000000" w:rsidP="00000000" w:rsidRDefault="00000000" w:rsidRPr="00000000" w14:paraId="0000002D">
            <w:pPr>
              <w:widowControl w:val="0"/>
              <w:numPr>
                <w:ilvl w:val="0"/>
                <w:numId w:val="5"/>
              </w:numPr>
              <w:spacing w:line="240" w:lineRule="auto"/>
              <w:ind w:left="720" w:hanging="360"/>
              <w:rPr/>
            </w:pPr>
            <w:r w:rsidDel="00000000" w:rsidR="00000000" w:rsidRPr="00000000">
              <w:rPr>
                <w:b w:val="1"/>
                <w:rtl w:val="0"/>
              </w:rPr>
              <w:t xml:space="preserve">Hasta 2.000 €</w:t>
            </w:r>
            <w:r w:rsidDel="00000000" w:rsidR="00000000" w:rsidRPr="00000000">
              <w:rPr>
                <w:rtl w:val="0"/>
              </w:rPr>
              <w:t xml:space="preserve"> para </w:t>
            </w:r>
            <w:r w:rsidDel="00000000" w:rsidR="00000000" w:rsidRPr="00000000">
              <w:rPr>
                <w:b w:val="1"/>
                <w:rtl w:val="0"/>
              </w:rPr>
              <w:t xml:space="preserve">viajar a las instalaciones de la corporación</w:t>
            </w:r>
            <w:r w:rsidDel="00000000" w:rsidR="00000000" w:rsidRPr="00000000">
              <w:rPr>
                <w:rtl w:val="0"/>
              </w:rPr>
              <w:t xml:space="preserve"> y realizar el experimento de prueba de concepto.</w:t>
              <w:br w:type="textWrapping"/>
            </w:r>
          </w:p>
          <w:p w:rsidR="00000000" w:rsidDel="00000000" w:rsidP="00000000" w:rsidRDefault="00000000" w:rsidRPr="00000000" w14:paraId="0000002E">
            <w:pPr>
              <w:widowControl w:val="0"/>
              <w:numPr>
                <w:ilvl w:val="0"/>
                <w:numId w:val="5"/>
              </w:numPr>
              <w:spacing w:after="240" w:line="240" w:lineRule="auto"/>
              <w:ind w:left="720" w:hanging="360"/>
              <w:rPr/>
            </w:pPr>
            <w:r w:rsidDel="00000000" w:rsidR="00000000" w:rsidRPr="00000000">
              <w:rPr>
                <w:b w:val="1"/>
                <w:rtl w:val="0"/>
              </w:rPr>
              <w:t xml:space="preserve">Hasta 1.500 €</w:t>
            </w:r>
            <w:r w:rsidDel="00000000" w:rsidR="00000000" w:rsidRPr="00000000">
              <w:rPr>
                <w:rtl w:val="0"/>
              </w:rPr>
              <w:t xml:space="preserve"> para el </w:t>
            </w:r>
            <w:r w:rsidDel="00000000" w:rsidR="00000000" w:rsidRPr="00000000">
              <w:rPr>
                <w:b w:val="1"/>
                <w:rtl w:val="0"/>
              </w:rPr>
              <w:t xml:space="preserve">transporte del equipo necesario</w:t>
            </w:r>
            <w:r w:rsidDel="00000000" w:rsidR="00000000" w:rsidRPr="00000000">
              <w:rPr>
                <w:rtl w:val="0"/>
              </w:rPr>
              <w:t xml:space="preserve"> para testar la solución.</w:t>
              <w:br w:type="textWrapping"/>
            </w:r>
          </w:p>
          <w:p w:rsidR="00000000" w:rsidDel="00000000" w:rsidP="00000000" w:rsidRDefault="00000000" w:rsidRPr="00000000" w14:paraId="0000002F">
            <w:pPr>
              <w:widowControl w:val="0"/>
              <w:spacing w:after="240" w:before="240" w:line="240" w:lineRule="auto"/>
              <w:jc w:val="both"/>
              <w:rPr/>
            </w:pPr>
            <w:r w:rsidDel="00000000" w:rsidR="00000000" w:rsidRPr="00000000">
              <w:rPr>
                <w:rtl w:val="0"/>
              </w:rPr>
              <w:t xml:space="preserve">Las startups y pymes pueden comprobar su elegibilidad y solicitar la subvención contactando con el </w:t>
            </w:r>
            <w:r w:rsidDel="00000000" w:rsidR="00000000" w:rsidRPr="00000000">
              <w:rPr>
                <w:b w:val="1"/>
                <w:rtl w:val="0"/>
              </w:rPr>
              <w:t xml:space="preserve">mentor asignado al inicio del programa</w:t>
            </w:r>
            <w:r w:rsidDel="00000000" w:rsidR="00000000" w:rsidRPr="00000000">
              <w:rPr>
                <w:rtl w:val="0"/>
              </w:rPr>
              <w:t xml:space="preserve">.</w:t>
            </w:r>
          </w:p>
          <w:p w:rsidR="00000000" w:rsidDel="00000000" w:rsidP="00000000" w:rsidRDefault="00000000" w:rsidRPr="00000000" w14:paraId="00000030">
            <w:pPr>
              <w:widowControl w:val="0"/>
              <w:spacing w:after="240" w:before="240" w:line="240" w:lineRule="auto"/>
              <w:jc w:val="both"/>
              <w:rPr/>
            </w:pPr>
            <w:r w:rsidDel="00000000" w:rsidR="00000000" w:rsidRPr="00000000">
              <w:rPr>
                <w:b w:val="1"/>
                <w:sz w:val="24"/>
                <w:szCs w:val="24"/>
                <w:rtl w:val="0"/>
              </w:rPr>
              <w:t xml:space="preserve">El ejemplo de un canal de televisión peruano que colabora con una startup española.</w:t>
            </w:r>
            <w:r w:rsidDel="00000000" w:rsidR="00000000" w:rsidRPr="00000000">
              <w:rPr>
                <w:rtl w:val="0"/>
              </w:rPr>
            </w:r>
          </w:p>
          <w:p w:rsidR="00000000" w:rsidDel="00000000" w:rsidP="00000000" w:rsidRDefault="00000000" w:rsidRPr="00000000" w14:paraId="00000031">
            <w:pPr>
              <w:widowControl w:val="0"/>
              <w:spacing w:after="240" w:before="240" w:line="240" w:lineRule="auto"/>
              <w:jc w:val="both"/>
              <w:rPr/>
            </w:pPr>
            <w:hyperlink r:id="rId9">
              <w:r w:rsidDel="00000000" w:rsidR="00000000" w:rsidRPr="00000000">
                <w:rPr>
                  <w:color w:val="1155cc"/>
                  <w:u w:val="single"/>
                  <w:rtl w:val="0"/>
                </w:rPr>
                <w:t xml:space="preserve">Latina TV</w:t>
              </w:r>
            </w:hyperlink>
            <w:r w:rsidDel="00000000" w:rsidR="00000000" w:rsidRPr="00000000">
              <w:rPr>
                <w:rtl w:val="0"/>
              </w:rPr>
              <w:t xml:space="preserve"> es el segundo canal peruano con mayor audiencia, y actualmente enfrenta dificultades para mantener sus programas fuera de plataformas de streaming ilegales.</w:t>
            </w:r>
          </w:p>
          <w:p w:rsidR="00000000" w:rsidDel="00000000" w:rsidP="00000000" w:rsidRDefault="00000000" w:rsidRPr="00000000" w14:paraId="00000032">
            <w:pPr>
              <w:widowControl w:val="0"/>
              <w:spacing w:after="240" w:before="240" w:line="240" w:lineRule="auto"/>
              <w:jc w:val="both"/>
              <w:rPr/>
            </w:pPr>
            <w:r w:rsidDel="00000000" w:rsidR="00000000" w:rsidRPr="00000000">
              <w:rPr>
                <w:rtl w:val="0"/>
              </w:rPr>
              <w:t xml:space="preserve">Esto tiene consecuencias graves:</w:t>
              <w:br w:type="textWrapping"/>
            </w:r>
          </w:p>
          <w:p w:rsidR="00000000" w:rsidDel="00000000" w:rsidP="00000000" w:rsidRDefault="00000000" w:rsidRPr="00000000" w14:paraId="00000033">
            <w:pPr>
              <w:widowControl w:val="0"/>
              <w:numPr>
                <w:ilvl w:val="0"/>
                <w:numId w:val="6"/>
              </w:numPr>
              <w:spacing w:before="240" w:line="240" w:lineRule="auto"/>
              <w:ind w:left="720" w:hanging="360"/>
              <w:jc w:val="both"/>
              <w:rPr/>
            </w:pPr>
            <w:r w:rsidDel="00000000" w:rsidR="00000000" w:rsidRPr="00000000">
              <w:rPr>
                <w:rtl w:val="0"/>
              </w:rPr>
              <w:t xml:space="preserve">La piratería priva a Latina TV de ingresos procedentes de suscripciones legítimas y publicidad.</w:t>
            </w:r>
          </w:p>
          <w:p w:rsidR="00000000" w:rsidDel="00000000" w:rsidP="00000000" w:rsidRDefault="00000000" w:rsidRPr="00000000" w14:paraId="00000034">
            <w:pPr>
              <w:widowControl w:val="0"/>
              <w:numPr>
                <w:ilvl w:val="0"/>
                <w:numId w:val="6"/>
              </w:numPr>
              <w:spacing w:after="240" w:line="240" w:lineRule="auto"/>
              <w:ind w:left="720" w:hanging="360"/>
              <w:jc w:val="both"/>
              <w:rPr/>
            </w:pPr>
            <w:r w:rsidDel="00000000" w:rsidR="00000000" w:rsidRPr="00000000">
              <w:rPr>
                <w:rtl w:val="0"/>
              </w:rPr>
              <w:t xml:space="preserve">La pérdida de ingresos limita su capacidad de seguir invirtiendo en producciones de alta calidad.</w:t>
            </w:r>
          </w:p>
          <w:p w:rsidR="00000000" w:rsidDel="00000000" w:rsidP="00000000" w:rsidRDefault="00000000" w:rsidRPr="00000000" w14:paraId="00000035">
            <w:pPr>
              <w:widowControl w:val="0"/>
              <w:spacing w:after="240" w:before="240" w:line="240" w:lineRule="auto"/>
              <w:jc w:val="both"/>
              <w:rPr>
                <w:b w:val="1"/>
              </w:rPr>
            </w:pPr>
            <w:r w:rsidDel="00000000" w:rsidR="00000000" w:rsidRPr="00000000">
              <w:rPr>
                <w:rtl w:val="0"/>
              </w:rPr>
              <w:t xml:space="preserve">Al otro lado del Atlántico, </w:t>
            </w:r>
            <w:hyperlink r:id="rId10">
              <w:r w:rsidDel="00000000" w:rsidR="00000000" w:rsidRPr="00000000">
                <w:rPr>
                  <w:color w:val="1155cc"/>
                  <w:u w:val="single"/>
                  <w:rtl w:val="0"/>
                </w:rPr>
                <w:t xml:space="preserve">Smart Protection</w:t>
              </w:r>
            </w:hyperlink>
            <w:r w:rsidDel="00000000" w:rsidR="00000000" w:rsidRPr="00000000">
              <w:rPr>
                <w:rtl w:val="0"/>
              </w:rPr>
              <w:t xml:space="preserve"> es una startup española con una misión clara: </w:t>
            </w:r>
            <w:r w:rsidDel="00000000" w:rsidR="00000000" w:rsidRPr="00000000">
              <w:rPr>
                <w:b w:val="1"/>
                <w:rtl w:val="0"/>
              </w:rPr>
              <w:t xml:space="preserve">proteger a las marcas contra falsificaciones, piratería y sitios web fraudulentos.</w:t>
            </w:r>
          </w:p>
          <w:p w:rsidR="00000000" w:rsidDel="00000000" w:rsidP="00000000" w:rsidRDefault="00000000" w:rsidRPr="00000000" w14:paraId="00000036">
            <w:pPr>
              <w:widowControl w:val="0"/>
              <w:spacing w:after="240" w:before="240" w:line="240" w:lineRule="auto"/>
              <w:jc w:val="both"/>
              <w:rPr/>
            </w:pPr>
            <w:r w:rsidDel="00000000" w:rsidR="00000000" w:rsidRPr="00000000">
              <w:rPr>
                <w:rtl w:val="0"/>
              </w:rPr>
              <w:t xml:space="preserve">Mediante tecnologías avanzadas de búsqueda semántica y colaboración con plataformas como TikTok, Dailymotion y motores de búsqueda, esta alianza busca desarrollar un proceso eficaz para identificar y eliminar rápidamente contenidos ilegales.</w:t>
            </w:r>
          </w:p>
          <w:p w:rsidR="00000000" w:rsidDel="00000000" w:rsidP="00000000" w:rsidRDefault="00000000" w:rsidRPr="00000000" w14:paraId="00000037">
            <w:pPr>
              <w:widowControl w:val="0"/>
              <w:spacing w:after="240" w:before="240" w:line="240" w:lineRule="auto"/>
              <w:jc w:val="both"/>
              <w:rPr/>
            </w:pPr>
            <w:r w:rsidDel="00000000" w:rsidR="00000000" w:rsidRPr="00000000">
              <w:rPr>
                <w:rtl w:val="0"/>
              </w:rPr>
              <w:t xml:space="preserve">Esto permitirá a Latina TV redirigir a los espectadores hacia sus plataformas oficiales, </w:t>
            </w:r>
            <w:hyperlink r:id="rId11">
              <w:r w:rsidDel="00000000" w:rsidR="00000000" w:rsidRPr="00000000">
                <w:rPr>
                  <w:color w:val="1155cc"/>
                  <w:u w:val="single"/>
                  <w:rtl w:val="0"/>
                </w:rPr>
                <w:t xml:space="preserve">mejorando así tanto la fidelización de la audiencia como los ingresos.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500062</wp:posOffset>
                  </wp:positionV>
                  <wp:extent cx="2629217" cy="2629217"/>
                  <wp:effectExtent b="0" l="0" r="0" t="0"/>
                  <wp:wrapSquare wrapText="bothSides" distB="114300" distT="114300" distL="114300" distR="114300"/>
                  <wp:docPr id="33787218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29217" cy="26292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490537</wp:posOffset>
                  </wp:positionV>
                  <wp:extent cx="2638742" cy="2638742"/>
                  <wp:effectExtent b="0" l="0" r="0" t="0"/>
                  <wp:wrapSquare wrapText="bothSides" distB="114300" distT="114300" distL="114300" distR="114300"/>
                  <wp:docPr id="33787218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38742" cy="2638742"/>
                          </a:xfrm>
                          <a:prstGeom prst="rect"/>
                          <a:ln/>
                        </pic:spPr>
                      </pic:pic>
                    </a:graphicData>
                  </a:graphic>
                </wp:anchor>
              </w:drawing>
            </w:r>
          </w:p>
          <w:p w:rsidR="00000000" w:rsidDel="00000000" w:rsidP="00000000" w:rsidRDefault="00000000" w:rsidRPr="00000000" w14:paraId="00000038">
            <w:pPr>
              <w:widowControl w:val="0"/>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both"/>
              <w:rPr>
                <w:b w:val="1"/>
                <w:sz w:val="24"/>
                <w:szCs w:val="24"/>
              </w:rPr>
            </w:pPr>
            <w:r w:rsidDel="00000000" w:rsidR="00000000" w:rsidRPr="00000000">
              <w:rPr>
                <w:b w:val="1"/>
                <w:sz w:val="24"/>
                <w:szCs w:val="24"/>
                <w:rtl w:val="0"/>
              </w:rPr>
              <w:t xml:space="preserve">El factor diferenciador de la internacionalización</w:t>
            </w:r>
          </w:p>
          <w:p w:rsidR="00000000" w:rsidDel="00000000" w:rsidP="00000000" w:rsidRDefault="00000000" w:rsidRPr="00000000" w14:paraId="0000003B">
            <w:pPr>
              <w:widowControl w:val="0"/>
              <w:spacing w:after="240" w:before="240" w:line="240" w:lineRule="auto"/>
              <w:jc w:val="both"/>
              <w:rPr/>
            </w:pPr>
            <w:r w:rsidDel="00000000" w:rsidR="00000000" w:rsidRPr="00000000">
              <w:rPr>
                <w:rtl w:val="0"/>
              </w:rPr>
              <w:t xml:space="preserve">EU-LAC Digital Accelerator se distingue por ser una aceleradora orientada a alianzas internacionales.</w:t>
            </w:r>
          </w:p>
          <w:p w:rsidR="00000000" w:rsidDel="00000000" w:rsidP="00000000" w:rsidRDefault="00000000" w:rsidRPr="00000000" w14:paraId="0000003C">
            <w:pPr>
              <w:widowControl w:val="0"/>
              <w:spacing w:after="240" w:before="240" w:line="240" w:lineRule="auto"/>
              <w:jc w:val="both"/>
              <w:rPr/>
            </w:pPr>
            <w:r w:rsidDel="00000000" w:rsidR="00000000" w:rsidRPr="00000000">
              <w:rPr>
                <w:rtl w:val="0"/>
              </w:rPr>
              <w:t xml:space="preserve">En otras palabras, su propósito no es solo lograr que las alianzas desarrollen un producto o servicio comercializable, sino que también puedan llevarlo al mercado en un país nuevo para al menos uno de los socios.</w:t>
            </w:r>
          </w:p>
          <w:p w:rsidR="00000000" w:rsidDel="00000000" w:rsidP="00000000" w:rsidRDefault="00000000" w:rsidRPr="00000000" w14:paraId="0000003D">
            <w:pPr>
              <w:widowControl w:val="0"/>
              <w:spacing w:after="240" w:before="240" w:line="240" w:lineRule="auto"/>
              <w:jc w:val="both"/>
              <w:rPr/>
            </w:pPr>
            <w:r w:rsidDel="00000000" w:rsidR="00000000" w:rsidRPr="00000000">
              <w:rPr>
                <w:rtl w:val="0"/>
              </w:rPr>
              <w:t xml:space="preserve">El servicio de Estrategia de Internacionalización y Soft-landing ofrecido por la aceleradora responde a esta necesidad, abordando aspectos regulatorios, fiscales y culturales que permiten una entrada fluida y adaptada en un nuevo país.</w:t>
            </w:r>
          </w:p>
          <w:p w:rsidR="00000000" w:rsidDel="00000000" w:rsidP="00000000" w:rsidRDefault="00000000" w:rsidRPr="00000000" w14:paraId="0000003E">
            <w:pPr>
              <w:jc w:val="center"/>
              <w:rPr/>
            </w:pPr>
            <w:hyperlink r:id="rId14">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14:paraId="0000003F">
            <w:pPr>
              <w:spacing w:after="240" w:before="240" w:lineRule="auto"/>
              <w:jc w:val="both"/>
              <w:rPr/>
            </w:pPr>
            <w:r w:rsidDel="00000000" w:rsidR="00000000" w:rsidRPr="00000000">
              <w:rPr>
                <w:rtl w:val="0"/>
              </w:rPr>
              <w:t xml:space="preserve">Por esta razón, las alianzas que presenten su candidatura deben estar ubicadas en regiones distintas (Unión Europea, América Latina y el Caribe).</w:t>
            </w:r>
          </w:p>
          <w:p w:rsidR="00000000" w:rsidDel="00000000" w:rsidP="00000000" w:rsidRDefault="00000000" w:rsidRPr="00000000" w14:paraId="00000040">
            <w:pPr>
              <w:spacing w:after="240" w:before="240" w:lineRule="auto"/>
              <w:jc w:val="both"/>
              <w:rPr/>
            </w:pPr>
            <w:r w:rsidDel="00000000" w:rsidR="00000000" w:rsidRPr="00000000">
              <w:rPr>
                <w:rtl w:val="0"/>
              </w:rPr>
              <w:t xml:space="preserve">A modo de ejemplo, una startup del Caribe solo podría postularse junto con una corporación europea o latinoamericana.</w:t>
            </w:r>
          </w:p>
          <w:p w:rsidR="00000000" w:rsidDel="00000000" w:rsidP="00000000" w:rsidRDefault="00000000" w:rsidRPr="00000000" w14:paraId="00000041">
            <w:pPr>
              <w:spacing w:after="240" w:before="240" w:lineRule="auto"/>
              <w:jc w:val="both"/>
              <w:rPr/>
            </w:pPr>
            <w:r w:rsidDel="00000000" w:rsidR="00000000" w:rsidRPr="00000000">
              <w:rPr>
                <w:rtl w:val="0"/>
              </w:rPr>
              <w:t xml:space="preserve">Para ayudar a corporaciones y startups que aún no tienen un socio a encontrar su "pareja innovadora", EU-LAC Digital Accelerator ha creado una </w:t>
            </w:r>
            <w:hyperlink r:id="rId15">
              <w:r w:rsidDel="00000000" w:rsidR="00000000" w:rsidRPr="00000000">
                <w:rPr>
                  <w:color w:val="1155cc"/>
                  <w:u w:val="single"/>
                  <w:rtl w:val="0"/>
                </w:rPr>
                <w:t xml:space="preserve">plataforma de matching.</w:t>
              </w:r>
            </w:hyperlink>
            <w:r w:rsidDel="00000000" w:rsidR="00000000" w:rsidRPr="00000000">
              <w:rPr>
                <w:rtl w:val="0"/>
              </w:rPr>
            </w:r>
          </w:p>
          <w:p w:rsidR="00000000" w:rsidDel="00000000" w:rsidP="00000000" w:rsidRDefault="00000000" w:rsidRPr="00000000" w14:paraId="00000042">
            <w:pPr>
              <w:widowControl w:val="0"/>
              <w:spacing w:after="240" w:before="240" w:line="240" w:lineRule="auto"/>
              <w:jc w:val="both"/>
              <w:rPr/>
            </w:pPr>
            <w:r w:rsidDel="00000000" w:rsidR="00000000" w:rsidRPr="00000000">
              <w:rPr>
                <w:rtl w:val="0"/>
              </w:rPr>
              <w:t xml:space="preserve">Con cerca de 60 desafíos corporativos y más de 1.450 startups dispuestas a aportar su experiencia digital, la plataforma de matching se ha consolidado como un sólido espacio de conexión, donde corporaciones y startups pueden conectarse y acordar una alianza antes de aplicar juntas a la convocatoria abierta.</w:t>
            </w:r>
          </w:p>
          <w:p w:rsidR="00000000" w:rsidDel="00000000" w:rsidP="00000000" w:rsidRDefault="00000000" w:rsidRPr="00000000" w14:paraId="00000043">
            <w:pPr>
              <w:widowControl w:val="0"/>
              <w:spacing w:after="240" w:before="240" w:line="240" w:lineRule="auto"/>
              <w:jc w:val="both"/>
              <w:rPr/>
            </w:pPr>
            <w:r w:rsidDel="00000000" w:rsidR="00000000" w:rsidRPr="00000000">
              <w:rPr>
                <w:rtl w:val="0"/>
              </w:rPr>
            </w:r>
          </w:p>
          <w:sdt>
            <w:sdtPr>
              <w:lock w:val="contentLocked"/>
              <w:id w:val="-687731814"/>
              <w:tag w:val="goog_rdk_2"/>
            </w:sdtPr>
            <w:sdtContent>
              <w:tbl>
                <w:tblPr>
                  <w:tblStyle w:val="Table4"/>
                  <w:tblW w:w="88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2"/>
                  <w:tblGridChange w:id="0">
                    <w:tblGrid>
                      <w:gridCol w:w="885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240" w:before="240" w:line="240" w:lineRule="auto"/>
                        <w:jc w:val="center"/>
                        <w:rPr>
                          <w:b w:val="1"/>
                        </w:rPr>
                      </w:pPr>
                      <w:r w:rsidDel="00000000" w:rsidR="00000000" w:rsidRPr="00000000">
                        <w:rPr>
                          <w:b w:val="1"/>
                          <w:rtl w:val="0"/>
                        </w:rPr>
                        <w:t xml:space="preserve">Todo lo que necesitas saber de la Convocatoria #4</w:t>
                      </w:r>
                    </w:p>
                    <w:p w:rsidR="00000000" w:rsidDel="00000000" w:rsidP="00000000" w:rsidRDefault="00000000" w:rsidRPr="00000000" w14:paraId="00000045">
                      <w:pPr>
                        <w:widowControl w:val="0"/>
                        <w:numPr>
                          <w:ilvl w:val="0"/>
                          <w:numId w:val="4"/>
                        </w:numPr>
                        <w:spacing w:after="240" w:before="240" w:line="240" w:lineRule="auto"/>
                        <w:ind w:left="720" w:hanging="360"/>
                        <w:jc w:val="both"/>
                        <w:rPr/>
                      </w:pPr>
                      <w:r w:rsidDel="00000000" w:rsidR="00000000" w:rsidRPr="00000000">
                        <w:rPr>
                          <w:b w:val="1"/>
                          <w:rtl w:val="0"/>
                        </w:rPr>
                        <w:t xml:space="preserve">Propósito del EU-LAC Digital Accelerator:</w:t>
                      </w:r>
                      <w:r w:rsidDel="00000000" w:rsidR="00000000" w:rsidRPr="00000000">
                        <w:rPr>
                          <w:rtl w:val="0"/>
                        </w:rPr>
                        <w:t xml:space="preserve"> Apoyar alianzas entre corporaciones y startups de la Unión Europea, América Latina y el Caribe para desarrollar un producto o servicio digital y acercarlo a su comercialización.</w:t>
                      </w:r>
                    </w:p>
                    <w:p w:rsidR="00000000" w:rsidDel="00000000" w:rsidP="00000000" w:rsidRDefault="00000000" w:rsidRPr="00000000" w14:paraId="00000046">
                      <w:pPr>
                        <w:widowControl w:val="0"/>
                        <w:numPr>
                          <w:ilvl w:val="0"/>
                          <w:numId w:val="4"/>
                        </w:numPr>
                        <w:spacing w:after="240" w:before="240" w:line="240" w:lineRule="auto"/>
                        <w:ind w:left="720" w:hanging="360"/>
                        <w:jc w:val="both"/>
                        <w:rPr/>
                      </w:pPr>
                      <w:r w:rsidDel="00000000" w:rsidR="00000000" w:rsidRPr="00000000">
                        <w:rPr>
                          <w:b w:val="1"/>
                          <w:rtl w:val="0"/>
                        </w:rPr>
                        <w:t xml:space="preserve">Plazo de presentación de candidaturas</w:t>
                      </w:r>
                      <w:r w:rsidDel="00000000" w:rsidR="00000000" w:rsidRPr="00000000">
                        <w:rPr>
                          <w:rtl w:val="0"/>
                        </w:rPr>
                        <w:t xml:space="preserve">:  Del 1 de julio de 2025 al 31 de octubre de 2025.</w:t>
                      </w:r>
                    </w:p>
                    <w:p w:rsidR="00000000" w:rsidDel="00000000" w:rsidP="00000000" w:rsidRDefault="00000000" w:rsidRPr="00000000" w14:paraId="00000047">
                      <w:pPr>
                        <w:widowControl w:val="0"/>
                        <w:numPr>
                          <w:ilvl w:val="0"/>
                          <w:numId w:val="4"/>
                        </w:numPr>
                        <w:spacing w:before="240" w:line="240" w:lineRule="auto"/>
                        <w:ind w:left="720" w:hanging="360"/>
                        <w:jc w:val="both"/>
                        <w:rPr>
                          <w:b w:val="1"/>
                        </w:rPr>
                      </w:pPr>
                      <w:r w:rsidDel="00000000" w:rsidR="00000000" w:rsidRPr="00000000">
                        <w:rPr>
                          <w:b w:val="1"/>
                          <w:rtl w:val="0"/>
                        </w:rPr>
                        <w:t xml:space="preserve">Criterios principales de elegibilidad:</w:t>
                      </w:r>
                    </w:p>
                    <w:p w:rsidR="00000000" w:rsidDel="00000000" w:rsidP="00000000" w:rsidRDefault="00000000" w:rsidRPr="00000000" w14:paraId="00000048">
                      <w:pPr>
                        <w:widowControl w:val="0"/>
                        <w:numPr>
                          <w:ilvl w:val="0"/>
                          <w:numId w:val="10"/>
                        </w:numPr>
                        <w:spacing w:line="240" w:lineRule="auto"/>
                        <w:ind w:left="720" w:hanging="360"/>
                        <w:rPr/>
                      </w:pPr>
                      <w:r w:rsidDel="00000000" w:rsidR="00000000" w:rsidRPr="00000000">
                        <w:rPr>
                          <w:rtl w:val="0"/>
                        </w:rPr>
                        <w:t xml:space="preserve">Cada candidatura debe incluir al menos 2 entidades.</w:t>
                      </w:r>
                    </w:p>
                    <w:p w:rsidR="00000000" w:rsidDel="00000000" w:rsidP="00000000" w:rsidRDefault="00000000" w:rsidRPr="00000000" w14:paraId="00000049">
                      <w:pPr>
                        <w:widowControl w:val="0"/>
                        <w:numPr>
                          <w:ilvl w:val="0"/>
                          <w:numId w:val="10"/>
                        </w:numPr>
                        <w:spacing w:line="240" w:lineRule="auto"/>
                        <w:ind w:left="720" w:hanging="360"/>
                        <w:rPr/>
                      </w:pPr>
                      <w:r w:rsidDel="00000000" w:rsidR="00000000" w:rsidRPr="00000000">
                        <w:rPr>
                          <w:rtl w:val="0"/>
                        </w:rPr>
                        <w:t xml:space="preserve">Debe haber al menos 1 corporación y 1 startup por candidatura.</w:t>
                      </w:r>
                    </w:p>
                    <w:p w:rsidR="00000000" w:rsidDel="00000000" w:rsidP="00000000" w:rsidRDefault="00000000" w:rsidRPr="00000000" w14:paraId="0000004A">
                      <w:pPr>
                        <w:widowControl w:val="0"/>
                        <w:numPr>
                          <w:ilvl w:val="0"/>
                          <w:numId w:val="10"/>
                        </w:numPr>
                        <w:spacing w:line="240" w:lineRule="auto"/>
                        <w:ind w:left="720" w:hanging="360"/>
                        <w:rPr/>
                      </w:pPr>
                      <w:r w:rsidDel="00000000" w:rsidR="00000000" w:rsidRPr="00000000">
                        <w:rPr>
                          <w:rtl w:val="0"/>
                        </w:rPr>
                        <w:t xml:space="preserve">Las entidades postulantes (corporación/es y startup/s) deben proceder de al menos dos de las tres regiones: Unión Europea, América Latina o Caribe (no pueden ser todas de la misma región).</w:t>
                        <w:br w:type="textWrapping"/>
                      </w:r>
                    </w:p>
                    <w:p w:rsidR="00000000" w:rsidDel="00000000" w:rsidP="00000000" w:rsidRDefault="00000000" w:rsidRPr="00000000" w14:paraId="0000004B">
                      <w:pPr>
                        <w:widowControl w:val="0"/>
                        <w:numPr>
                          <w:ilvl w:val="0"/>
                          <w:numId w:val="2"/>
                        </w:numPr>
                        <w:spacing w:after="240" w:line="240" w:lineRule="auto"/>
                        <w:ind w:left="720" w:hanging="360"/>
                        <w:jc w:val="both"/>
                        <w:rPr/>
                      </w:pPr>
                      <w:r w:rsidDel="00000000" w:rsidR="00000000" w:rsidRPr="00000000">
                        <w:rPr>
                          <w:rtl w:val="0"/>
                        </w:rPr>
                        <w:t xml:space="preserve">Plataforma de matching (Disponible para corporaciones y startups que deseen encontrar un socio antes de aplicar a la convocatoria y acceder a los servicios de aceleración)</w:t>
                      </w:r>
                    </w:p>
                    <w:p w:rsidR="00000000" w:rsidDel="00000000" w:rsidP="00000000" w:rsidRDefault="00000000" w:rsidRPr="00000000" w14:paraId="0000004C">
                      <w:pPr>
                        <w:widowControl w:val="0"/>
                        <w:numPr>
                          <w:ilvl w:val="0"/>
                          <w:numId w:val="2"/>
                        </w:numPr>
                        <w:spacing w:before="240" w:line="240" w:lineRule="auto"/>
                        <w:ind w:left="720" w:hanging="360"/>
                        <w:jc w:val="both"/>
                        <w:rPr>
                          <w:b w:val="1"/>
                        </w:rPr>
                      </w:pPr>
                      <w:r w:rsidDel="00000000" w:rsidR="00000000" w:rsidRPr="00000000">
                        <w:rPr>
                          <w:b w:val="1"/>
                          <w:rtl w:val="0"/>
                        </w:rPr>
                        <w:t xml:space="preserve">Servicios del EU-LAC Digital Accelerator:</w:t>
                      </w:r>
                    </w:p>
                    <w:p w:rsidR="00000000" w:rsidDel="00000000" w:rsidP="00000000" w:rsidRDefault="00000000" w:rsidRPr="00000000" w14:paraId="0000004D">
                      <w:pPr>
                        <w:widowControl w:val="0"/>
                        <w:numPr>
                          <w:ilvl w:val="0"/>
                          <w:numId w:val="7"/>
                        </w:numPr>
                        <w:spacing w:line="240" w:lineRule="auto"/>
                        <w:ind w:left="1440" w:hanging="360"/>
                        <w:rPr/>
                      </w:pPr>
                      <w:r w:rsidDel="00000000" w:rsidR="00000000" w:rsidRPr="00000000">
                        <w:rPr>
                          <w:i w:val="1"/>
                          <w:rtl w:val="0"/>
                        </w:rPr>
                        <w:t xml:space="preserve">Fase de prueba de concepto:</w:t>
                      </w:r>
                      <w:r w:rsidDel="00000000" w:rsidR="00000000" w:rsidRPr="00000000">
                        <w:rPr>
                          <w:rtl w:val="0"/>
                        </w:rPr>
                        <w:t xml:space="preserve">  Bootcamps de innovación abierta, capacidades de corporate venturing, diseño y prototipado del PoC, validación de soluciones basadas en IA.</w:t>
                      </w:r>
                    </w:p>
                    <w:p w:rsidR="00000000" w:rsidDel="00000000" w:rsidP="00000000" w:rsidRDefault="00000000" w:rsidRPr="00000000" w14:paraId="0000004E">
                      <w:pPr>
                        <w:widowControl w:val="0"/>
                        <w:numPr>
                          <w:ilvl w:val="0"/>
                          <w:numId w:val="7"/>
                        </w:numPr>
                        <w:spacing w:line="240" w:lineRule="auto"/>
                        <w:ind w:left="1440" w:hanging="360"/>
                        <w:rPr/>
                      </w:pPr>
                      <w:r w:rsidDel="00000000" w:rsidR="00000000" w:rsidRPr="00000000">
                        <w:rPr>
                          <w:i w:val="1"/>
                          <w:rtl w:val="0"/>
                        </w:rPr>
                        <w:t xml:space="preserve">Fase de caso de negocio: </w:t>
                      </w:r>
                      <w:r w:rsidDel="00000000" w:rsidR="00000000" w:rsidRPr="00000000">
                        <w:rPr>
                          <w:rtl w:val="0"/>
                        </w:rPr>
                        <w:t xml:space="preserve"> Diseño del modelo de negocio, estrategia de internacionalización y soft-landing, gestión de propiedad intelectual, roadmap de producto y competencias digitales.</w:t>
                      </w:r>
                    </w:p>
                    <w:p w:rsidR="00000000" w:rsidDel="00000000" w:rsidP="00000000" w:rsidRDefault="00000000" w:rsidRPr="00000000" w14:paraId="0000004F">
                      <w:pPr>
                        <w:widowControl w:val="0"/>
                        <w:numPr>
                          <w:ilvl w:val="0"/>
                          <w:numId w:val="7"/>
                        </w:numPr>
                        <w:spacing w:line="240" w:lineRule="auto"/>
                        <w:ind w:left="1440" w:hanging="360"/>
                        <w:rPr/>
                      </w:pPr>
                      <w:r w:rsidDel="00000000" w:rsidR="00000000" w:rsidRPr="00000000">
                        <w:rPr>
                          <w:i w:val="1"/>
                          <w:rtl w:val="0"/>
                        </w:rPr>
                        <w:t xml:space="preserve">Fase de inversión y escalado:</w:t>
                      </w:r>
                      <w:r w:rsidDel="00000000" w:rsidR="00000000" w:rsidRPr="00000000">
                        <w:rPr>
                          <w:rtl w:val="0"/>
                        </w:rPr>
                        <w:t xml:space="preserve">  Integración en estructuras corporativas, digitalización completa de procesos, preparación para inversión y matchmaking, acceso a financiación pública.</w:t>
                        <w:br w:type="textWrapping"/>
                      </w:r>
                    </w:p>
                    <w:p w:rsidR="00000000" w:rsidDel="00000000" w:rsidP="00000000" w:rsidRDefault="00000000" w:rsidRPr="00000000" w14:paraId="00000050">
                      <w:pPr>
                        <w:widowControl w:val="0"/>
                        <w:numPr>
                          <w:ilvl w:val="0"/>
                          <w:numId w:val="13"/>
                        </w:numPr>
                        <w:spacing w:after="240" w:line="240" w:lineRule="auto"/>
                        <w:ind w:left="720" w:hanging="360"/>
                        <w:jc w:val="both"/>
                        <w:rPr/>
                      </w:pPr>
                      <w:r w:rsidDel="00000000" w:rsidR="00000000" w:rsidRPr="00000000">
                        <w:rPr>
                          <w:b w:val="1"/>
                          <w:rtl w:val="0"/>
                        </w:rPr>
                        <w:t xml:space="preserve">Subvenciones EU-LAC Digital Accelerator:</w:t>
                      </w:r>
                      <w:r w:rsidDel="00000000" w:rsidR="00000000" w:rsidRPr="00000000">
                        <w:rPr>
                          <w:rtl w:val="0"/>
                        </w:rPr>
                        <w:t xml:space="preserve"> Hasta 10.500 € para startups y pymes seleccionadas, destinados al desarrollo y ejecución de la prueba de concepto.</w:t>
                      </w:r>
                    </w:p>
                    <w:p w:rsidR="00000000" w:rsidDel="00000000" w:rsidP="00000000" w:rsidRDefault="00000000" w:rsidRPr="00000000" w14:paraId="00000051">
                      <w:pPr>
                        <w:widowControl w:val="0"/>
                        <w:numPr>
                          <w:ilvl w:val="0"/>
                          <w:numId w:val="13"/>
                        </w:numPr>
                        <w:spacing w:after="240" w:before="240" w:line="240" w:lineRule="auto"/>
                        <w:ind w:left="720" w:hanging="360"/>
                        <w:jc w:val="both"/>
                        <w:rPr>
                          <w:b w:val="1"/>
                        </w:rPr>
                      </w:pPr>
                      <w:hyperlink r:id="rId16">
                        <w:r w:rsidDel="00000000" w:rsidR="00000000" w:rsidRPr="00000000">
                          <w:rPr>
                            <w:b w:val="1"/>
                            <w:color w:val="1155cc"/>
                            <w:u w:val="single"/>
                            <w:rtl w:val="0"/>
                          </w:rPr>
                          <w:t xml:space="preserve">Formulario de solicitud e información</w:t>
                        </w:r>
                      </w:hyperlink>
                      <w:r w:rsidDel="00000000" w:rsidR="00000000" w:rsidRPr="00000000">
                        <w:rPr>
                          <w:rtl w:val="0"/>
                        </w:rPr>
                      </w:r>
                    </w:p>
                  </w:tc>
                </w:tr>
              </w:tbl>
            </w:sdtContent>
          </w:sdt>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jc w:val="both"/>
              <w:rPr>
                <w:b w:val="1"/>
                <w:sz w:val="24"/>
                <w:szCs w:val="24"/>
              </w:rPr>
            </w:pPr>
            <w:r w:rsidDel="00000000" w:rsidR="00000000" w:rsidRPr="00000000">
              <w:rPr>
                <w:rtl w:val="0"/>
              </w:rPr>
            </w:r>
          </w:p>
        </w:tc>
      </w:tr>
    </w:tbl>
    <w:p w:rsidR="00000000" w:rsidDel="00000000" w:rsidP="00000000" w:rsidRDefault="00000000" w:rsidRPr="00000000" w14:paraId="00000053">
      <w:pPr>
        <w:jc w:val="both"/>
        <w:rPr/>
      </w:pPr>
      <w:r w:rsidDel="00000000" w:rsidR="00000000" w:rsidRPr="00000000">
        <w:rPr>
          <w:rtl w:val="0"/>
        </w:rPr>
      </w:r>
    </w:p>
    <w:sectPr>
      <w:headerReference r:id="rId17" w:type="default"/>
      <w:headerReference r:id="rId18" w:type="first"/>
      <w:footerReference r:id="rId19" w:type="default"/>
      <w:footerReference r:id="rId20" w:type="first"/>
      <w:pgSz w:h="16834" w:w="11909" w:orient="portrait"/>
      <w:pgMar w:bottom="1440" w:top="1440" w:left="1417"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jc w:val="right"/>
      <w:rPr>
        <w:color w:val="223b76"/>
      </w:rPr>
    </w:pPr>
    <w:r w:rsidDel="00000000" w:rsidR="00000000" w:rsidRPr="00000000">
      <w:rPr>
        <w:color w:val="223b7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1809750</wp:posOffset>
          </wp:positionH>
          <wp:positionV relativeFrom="paragraph">
            <wp:posOffset>18863</wp:posOffset>
          </wp:positionV>
          <wp:extent cx="790463" cy="457070"/>
          <wp:effectExtent b="0" l="0" r="0" t="0"/>
          <wp:wrapNone/>
          <wp:docPr id="337872191" name="image1.png"/>
          <a:graphic>
            <a:graphicData uri="http://schemas.openxmlformats.org/drawingml/2006/picture">
              <pic:pic>
                <pic:nvPicPr>
                  <pic:cNvPr id="0" name="image1.png"/>
                  <pic:cNvPicPr preferRelativeResize="0"/>
                </pic:nvPicPr>
                <pic:blipFill>
                  <a:blip r:embed="rId1"/>
                  <a:srcRect b="18254" l="0" r="36565" t="16561"/>
                  <a:stretch>
                    <a:fillRect/>
                  </a:stretch>
                </pic:blipFill>
                <pic:spPr>
                  <a:xfrm>
                    <a:off x="0" y="0"/>
                    <a:ext cx="790463" cy="4570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56963</wp:posOffset>
          </wp:positionV>
          <wp:extent cx="1656744" cy="375112"/>
          <wp:effectExtent b="0" l="0" r="0" t="0"/>
          <wp:wrapNone/>
          <wp:docPr id="33787219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656744" cy="37511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drawing>
        <wp:inline distB="114300" distT="114300" distL="114300" distR="114300">
          <wp:extent cx="1656744" cy="375112"/>
          <wp:effectExtent b="0" l="0" r="0" t="0"/>
          <wp:docPr id="33787219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56744" cy="375112"/>
                  </a:xfrm>
                  <a:prstGeom prst="rect"/>
                  <a:ln/>
                </pic:spPr>
              </pic:pic>
            </a:graphicData>
          </a:graphic>
        </wp:inline>
      </w:drawing>
    </w:r>
    <w:r w:rsidDel="00000000" w:rsidR="00000000" w:rsidRPr="00000000">
      <w:rPr/>
      <w:drawing>
        <wp:inline distB="114300" distT="114300" distL="114300" distR="114300">
          <wp:extent cx="790463" cy="457070"/>
          <wp:effectExtent b="0" l="0" r="0" t="0"/>
          <wp:docPr id="337872193" name="image1.png"/>
          <a:graphic>
            <a:graphicData uri="http://schemas.openxmlformats.org/drawingml/2006/picture">
              <pic:pic>
                <pic:nvPicPr>
                  <pic:cNvPr id="0" name="image1.png"/>
                  <pic:cNvPicPr preferRelativeResize="0"/>
                </pic:nvPicPr>
                <pic:blipFill>
                  <a:blip r:embed="rId2"/>
                  <a:srcRect b="18254" l="0" r="36565" t="16561"/>
                  <a:stretch>
                    <a:fillRect/>
                  </a:stretch>
                </pic:blipFill>
                <pic:spPr>
                  <a:xfrm>
                    <a:off x="0" y="0"/>
                    <a:ext cx="790463" cy="45707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1"/>
      <w:keepLines w:val="1"/>
      <w:pBdr>
        <w:top w:space="0" w:sz="0" w:val="nil"/>
        <w:left w:space="0" w:sz="0" w:val="nil"/>
        <w:bottom w:space="0" w:sz="0" w:val="nil"/>
        <w:right w:space="0" w:sz="0" w:val="nil"/>
        <w:between w:space="0" w:sz="0" w:val="nil"/>
      </w:pBdr>
      <w:spacing w:after="80" w:before="320" w:lineRule="auto"/>
      <w:rPr>
        <w:color w:val="434343"/>
        <w:sz w:val="28"/>
        <w:szCs w:val="28"/>
      </w:rPr>
    </w:pPr>
    <w:bookmarkStart w:colFirst="0" w:colLast="0" w:name="_heading=h.uwxn32tlxdb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5159699</wp:posOffset>
          </wp:positionH>
          <wp:positionV relativeFrom="paragraph">
            <wp:posOffset>-228595</wp:posOffset>
          </wp:positionV>
          <wp:extent cx="571500" cy="685800"/>
          <wp:effectExtent b="0" l="0" r="0" t="0"/>
          <wp:wrapNone/>
          <wp:docPr id="337872189" name="image2.png"/>
          <a:graphic>
            <a:graphicData uri="http://schemas.openxmlformats.org/drawingml/2006/picture">
              <pic:pic>
                <pic:nvPicPr>
                  <pic:cNvPr id="0" name="image2.png"/>
                  <pic:cNvPicPr preferRelativeResize="0"/>
                </pic:nvPicPr>
                <pic:blipFill>
                  <a:blip r:embed="rId1"/>
                  <a:srcRect b="7692" l="0" r="67032" t="0"/>
                  <a:stretch>
                    <a:fillRect/>
                  </a:stretch>
                </pic:blipFill>
                <pic:spPr>
                  <a:xfrm>
                    <a:off x="0" y="0"/>
                    <a:ext cx="571500"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-448800</wp:posOffset>
          </wp:positionV>
          <wp:extent cx="7584440" cy="1225550"/>
          <wp:effectExtent b="0" l="0" r="0" t="0"/>
          <wp:wrapSquare wrapText="bothSides" distB="0" distT="0" distL="114300" distR="114300"/>
          <wp:docPr id="337872190" name="image3.png"/>
          <a:graphic>
            <a:graphicData uri="http://schemas.openxmlformats.org/drawingml/2006/picture">
              <pic:pic>
                <pic:nvPicPr>
                  <pic:cNvPr id="0" name="image3.png"/>
                  <pic:cNvPicPr preferRelativeResize="0"/>
                </pic:nvPicPr>
                <pic:blipFill>
                  <a:blip r:embed="rId2"/>
                  <a:srcRect b="0" l="0" r="0" t="72252"/>
                  <a:stretch>
                    <a:fillRect/>
                  </a:stretch>
                </pic:blipFill>
                <pic:spPr>
                  <a:xfrm>
                    <a:off x="0" y="0"/>
                    <a:ext cx="7584440" cy="12255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-894714</wp:posOffset>
          </wp:positionH>
          <wp:positionV relativeFrom="paragraph">
            <wp:posOffset>-488314</wp:posOffset>
          </wp:positionV>
          <wp:extent cx="7584440" cy="1225550"/>
          <wp:effectExtent b="0" l="0" r="0" t="0"/>
          <wp:wrapSquare wrapText="bothSides" distB="0" distT="0" distL="114300" distR="114300"/>
          <wp:docPr id="337872194" name="image3.png"/>
          <a:graphic>
            <a:graphicData uri="http://schemas.openxmlformats.org/drawingml/2006/picture">
              <pic:pic>
                <pic:nvPicPr>
                  <pic:cNvPr id="0" name="image3.png"/>
                  <pic:cNvPicPr preferRelativeResize="0"/>
                </pic:nvPicPr>
                <pic:blipFill>
                  <a:blip r:embed="rId1"/>
                  <a:srcRect b="0" l="0" r="0" t="72252"/>
                  <a:stretch>
                    <a:fillRect/>
                  </a:stretch>
                </pic:blipFill>
                <pic:spPr>
                  <a:xfrm>
                    <a:off x="0" y="0"/>
                    <a:ext cx="7584440" cy="1225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color w:val="223b76"/>
      <w:sz w:val="32"/>
      <w:szCs w:val="32"/>
    </w:rPr>
  </w:style>
  <w:style w:type="paragraph" w:styleId="Heading3">
    <w:name w:val="heading 3"/>
    <w:basedOn w:val="Normal"/>
    <w:next w:val="Normal"/>
    <w:pPr>
      <w:keepNext w:val="1"/>
      <w:keepLines w:val="1"/>
      <w:spacing w:after="80" w:before="320" w:lineRule="auto"/>
      <w:ind w:left="1440" w:hanging="360"/>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table" w:styleId="a3" w:customStyle="1">
    <w:basedOn w:val="Tablanormal"/>
    <w:tblPr>
      <w:tblStyleRowBandSize w:val="1"/>
      <w:tblStyleColBandSize w:val="1"/>
      <w:tblCellMar>
        <w:top w:w="100.0" w:type="dxa"/>
        <w:left w:w="100.0" w:type="dxa"/>
        <w:bottom w:w="100.0" w:type="dxa"/>
        <w:right w:w="100.0" w:type="dxa"/>
      </w:tblCellMar>
    </w:tblPr>
  </w:style>
  <w:style w:type="table" w:styleId="a4" w:customStyle="1">
    <w:basedOn w:val="Tablanormal"/>
    <w:tblPr>
      <w:tblStyleRowBandSize w:val="1"/>
      <w:tblStyleColBandSize w:val="1"/>
      <w:tblCellMar>
        <w:top w:w="100.0" w:type="dxa"/>
        <w:left w:w="100.0" w:type="dxa"/>
        <w:bottom w:w="100.0" w:type="dxa"/>
        <w:right w:w="100.0" w:type="dxa"/>
      </w:tblCellMar>
    </w:tblPr>
  </w:style>
  <w:style w:type="table" w:styleId="a5" w:customStyle="1">
    <w:basedOn w:val="Tablanormal"/>
    <w:tblPr>
      <w:tblStyleRowBandSize w:val="1"/>
      <w:tblStyleColBandSize w:val="1"/>
      <w:tblCellMar>
        <w:top w:w="100.0" w:type="dxa"/>
        <w:left w:w="100.0" w:type="dxa"/>
        <w:bottom w:w="100.0" w:type="dxa"/>
        <w:right w:w="100.0" w:type="dxa"/>
      </w:tblCellMar>
    </w:tblPr>
  </w:style>
  <w:style w:type="table" w:styleId="a6" w:customStyle="1">
    <w:basedOn w:val="Tablanormal"/>
    <w:tblPr>
      <w:tblStyleRowBandSize w:val="1"/>
      <w:tblStyleColBandSize w:val="1"/>
      <w:tblCellMar>
        <w:top w:w="100.0" w:type="dxa"/>
        <w:left w:w="100.0" w:type="dxa"/>
        <w:bottom w:w="100.0" w:type="dxa"/>
        <w:right w:w="100.0" w:type="dxa"/>
      </w:tblCellMar>
    </w:tblPr>
  </w:style>
  <w:style w:type="table" w:styleId="a7" w:customStyle="1">
    <w:basedOn w:val="Tablanormal"/>
    <w:tblPr>
      <w:tblStyleRowBandSize w:val="1"/>
      <w:tblStyleColBandSize w:val="1"/>
      <w:tblCellMar>
        <w:top w:w="100.0" w:type="dxa"/>
        <w:left w:w="100.0" w:type="dxa"/>
        <w:bottom w:w="100.0" w:type="dxa"/>
        <w:right w:w="100.0" w:type="dxa"/>
      </w:tblCellMar>
    </w:tblPr>
  </w:style>
  <w:style w:type="table" w:styleId="a8" w:customStyle="1">
    <w:basedOn w:val="Tablanormal"/>
    <w:tblPr>
      <w:tblStyleRowBandSize w:val="1"/>
      <w:tblStyleColBandSize w:val="1"/>
      <w:tblCellMar>
        <w:top w:w="100.0" w:type="dxa"/>
        <w:left w:w="100.0" w:type="dxa"/>
        <w:bottom w:w="100.0" w:type="dxa"/>
        <w:right w:w="100.0" w:type="dxa"/>
      </w:tblCellMar>
    </w:tblPr>
  </w:style>
  <w:style w:type="table" w:styleId="a9" w:customStyle="1">
    <w:basedOn w:val="Tablanormal"/>
    <w:tblPr>
      <w:tblStyleRowBandSize w:val="1"/>
      <w:tblStyleColBandSize w:val="1"/>
      <w:tblCellMar>
        <w:top w:w="100.0" w:type="dxa"/>
        <w:left w:w="100.0" w:type="dxa"/>
        <w:bottom w:w="100.0" w:type="dxa"/>
        <w:right w:w="100.0" w:type="dxa"/>
      </w:tblCellMar>
    </w:tblPr>
  </w:style>
  <w:style w:type="table" w:styleId="aa" w:customStyle="1">
    <w:basedOn w:val="Tablanormal"/>
    <w:tblPr>
      <w:tblStyleRowBandSize w:val="1"/>
      <w:tblStyleColBandSize w:val="1"/>
      <w:tblCellMar>
        <w:top w:w="100.0" w:type="dxa"/>
        <w:left w:w="100.0" w:type="dxa"/>
        <w:bottom w:w="100.0" w:type="dxa"/>
        <w:right w:w="100.0" w:type="dxa"/>
      </w:tblCellMar>
    </w:tblPr>
  </w:style>
  <w:style w:type="table" w:styleId="ab" w:customStyle="1">
    <w:basedOn w:val="Tablanormal"/>
    <w:tblPr>
      <w:tblStyleRowBandSize w:val="1"/>
      <w:tblStyleColBandSize w:val="1"/>
      <w:tblCellMar>
        <w:top w:w="100.0" w:type="dxa"/>
        <w:left w:w="100.0" w:type="dxa"/>
        <w:bottom w:w="100.0" w:type="dxa"/>
        <w:right w:w="100.0" w:type="dxa"/>
      </w:tblCellMar>
    </w:tblPr>
  </w:style>
  <w:style w:type="table" w:styleId="ac" w:customStyle="1">
    <w:basedOn w:val="Tablanormal"/>
    <w:tblPr>
      <w:tblStyleRowBandSize w:val="1"/>
      <w:tblStyleColBandSize w:val="1"/>
      <w:tblCellMar>
        <w:top w:w="100.0" w:type="dxa"/>
        <w:left w:w="100.0" w:type="dxa"/>
        <w:bottom w:w="100.0" w:type="dxa"/>
        <w:right w:w="100.0" w:type="dxa"/>
      </w:tblCellMar>
    </w:tblPr>
  </w:style>
  <w:style w:type="character" w:styleId="Hipervnculo">
    <w:name w:val="Hyperlink"/>
    <w:basedOn w:val="Fuentedeprrafopredeter"/>
    <w:uiPriority w:val="99"/>
    <w:unhideWhenUsed w:val="1"/>
    <w:rPr>
      <w:color w:val="0000ff" w:themeColor="hyperlink"/>
      <w:u w:val="single"/>
    </w:r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00.0" w:type="dxa"/>
        <w:left w:w="100.0" w:type="dxa"/>
        <w:bottom w:w="100.0" w:type="dxa"/>
        <w:right w:w="100.0" w:type="dxa"/>
      </w:tblCellMar>
    </w:tblPr>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0.0" w:type="dxa"/>
        <w:bottom w:w="100.0" w:type="dxa"/>
        <w:right w:w="100.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100.0" w:type="dxa"/>
        <w:left w:w="100.0" w:type="dxa"/>
        <w:bottom w:w="100.0" w:type="dxa"/>
        <w:right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100.0" w:type="dxa"/>
        <w:left w:w="100.0" w:type="dxa"/>
        <w:bottom w:w="100.0" w:type="dxa"/>
        <w:right w:w="100.0" w:type="dxa"/>
      </w:tblCellMar>
    </w:tblPr>
  </w:style>
  <w:style w:type="table" w:styleId="afe" w:customStyle="1">
    <w:basedOn w:val="TableNormal1"/>
    <w:tblPr>
      <w:tblStyleRowBandSize w:val="1"/>
      <w:tblStyleColBandSize w:val="1"/>
      <w:tblCellMar>
        <w:top w:w="100.0" w:type="dxa"/>
        <w:left w:w="100.0" w:type="dxa"/>
        <w:bottom w:w="100.0" w:type="dxa"/>
        <w:right w:w="100.0" w:type="dxa"/>
      </w:tblCellMar>
    </w:tblPr>
  </w:style>
  <w:style w:type="table" w:styleId="aff" w:customStyle="1">
    <w:basedOn w:val="TableNormal1"/>
    <w:tblPr>
      <w:tblStyleRowBandSize w:val="1"/>
      <w:tblStyleColBandSize w:val="1"/>
      <w:tblCellMar>
        <w:top w:w="100.0" w:type="dxa"/>
        <w:left w:w="100.0" w:type="dxa"/>
        <w:bottom w:w="100.0" w:type="dxa"/>
        <w:right w:w="100.0" w:type="dxa"/>
      </w:tblCellMar>
    </w:tblPr>
  </w:style>
  <w:style w:type="table" w:styleId="aff0" w:customStyle="1">
    <w:basedOn w:val="TableNormal1"/>
    <w:tblPr>
      <w:tblStyleRowBandSize w:val="1"/>
      <w:tblStyleColBandSize w:val="1"/>
      <w:tblCellMar>
        <w:top w:w="100.0" w:type="dxa"/>
        <w:left w:w="100.0" w:type="dxa"/>
        <w:bottom w:w="100.0" w:type="dxa"/>
        <w:right w:w="100.0" w:type="dxa"/>
      </w:tblCellMar>
    </w:tblPr>
  </w:style>
  <w:style w:type="table" w:styleId="aff1" w:customStyle="1">
    <w:basedOn w:val="TableNormal1"/>
    <w:tblPr>
      <w:tblStyleRowBandSize w:val="1"/>
      <w:tblStyleColBandSize w:val="1"/>
      <w:tblCellMar>
        <w:top w:w="100.0" w:type="dxa"/>
        <w:left w:w="100.0" w:type="dxa"/>
        <w:bottom w:w="100.0" w:type="dxa"/>
        <w:right w:w="100.0" w:type="dxa"/>
      </w:tblCellMar>
    </w:tblPr>
  </w:style>
  <w:style w:type="table" w:styleId="aff2" w:customStyle="1">
    <w:basedOn w:val="TableNormal1"/>
    <w:tblPr>
      <w:tblStyleRowBandSize w:val="1"/>
      <w:tblStyleColBandSize w:val="1"/>
      <w:tblCellMar>
        <w:top w:w="100.0" w:type="dxa"/>
        <w:left w:w="100.0" w:type="dxa"/>
        <w:bottom w:w="100.0" w:type="dxa"/>
        <w:right w:w="100.0" w:type="dxa"/>
      </w:tblCellMar>
    </w:tblPr>
  </w:style>
  <w:style w:type="table" w:styleId="aff3" w:customStyle="1">
    <w:basedOn w:val="TableNormal1"/>
    <w:tblPr>
      <w:tblStyleRowBandSize w:val="1"/>
      <w:tblStyleColBandSize w:val="1"/>
      <w:tblCellMar>
        <w:top w:w="100.0" w:type="dxa"/>
        <w:left w:w="100.0" w:type="dxa"/>
        <w:bottom w:w="100.0" w:type="dxa"/>
        <w:right w:w="100.0" w:type="dxa"/>
      </w:tblCellMar>
    </w:tblPr>
  </w:style>
  <w:style w:type="table" w:styleId="aff4" w:customStyle="1">
    <w:basedOn w:val="TableNormal1"/>
    <w:tblPr>
      <w:tblStyleRowBandSize w:val="1"/>
      <w:tblStyleColBandSize w:val="1"/>
      <w:tblCellMar>
        <w:top w:w="100.0" w:type="dxa"/>
        <w:left w:w="100.0" w:type="dxa"/>
        <w:bottom w:w="100.0" w:type="dxa"/>
        <w:right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1"/>
    <w:tblPr>
      <w:tblStyleRowBandSize w:val="1"/>
      <w:tblStyleColBandSize w:val="1"/>
      <w:tblCellMar>
        <w:top w:w="100.0" w:type="dxa"/>
        <w:left w:w="100.0" w:type="dxa"/>
        <w:bottom w:w="100.0" w:type="dxa"/>
        <w:right w:w="100.0" w:type="dxa"/>
      </w:tblCellMar>
    </w:tblPr>
  </w:style>
  <w:style w:type="table" w:styleId="affb" w:customStyle="1">
    <w:basedOn w:val="TableNormal1"/>
    <w:tblPr>
      <w:tblStyleRowBandSize w:val="1"/>
      <w:tblStyleColBandSize w:val="1"/>
      <w:tblCellMar>
        <w:top w:w="100.0" w:type="dxa"/>
        <w:left w:w="100.0" w:type="dxa"/>
        <w:bottom w:w="100.0" w:type="dxa"/>
        <w:right w:w="100.0" w:type="dxa"/>
      </w:tblCellMar>
    </w:tblPr>
  </w:style>
  <w:style w:type="table" w:styleId="affc" w:customStyle="1">
    <w:basedOn w:val="TableNormal1"/>
    <w:tblPr>
      <w:tblStyleRowBandSize w:val="1"/>
      <w:tblStyleColBandSize w:val="1"/>
      <w:tblCellMar>
        <w:top w:w="100.0" w:type="dxa"/>
        <w:left w:w="100.0" w:type="dxa"/>
        <w:bottom w:w="100.0" w:type="dxa"/>
        <w:right w:w="100.0" w:type="dxa"/>
      </w:tblCellMar>
    </w:tblPr>
  </w:style>
  <w:style w:type="table" w:styleId="affd" w:customStyle="1">
    <w:basedOn w:val="TableNormal1"/>
    <w:tblPr>
      <w:tblStyleRowBandSize w:val="1"/>
      <w:tblStyleColBandSize w:val="1"/>
      <w:tblCellMar>
        <w:top w:w="100.0" w:type="dxa"/>
        <w:left w:w="100.0" w:type="dxa"/>
        <w:bottom w:w="100.0" w:type="dxa"/>
        <w:right w:w="100.0" w:type="dxa"/>
      </w:tblCellMar>
    </w:tblPr>
  </w:style>
  <w:style w:type="table" w:styleId="affe" w:customStyle="1">
    <w:basedOn w:val="TableNormal1"/>
    <w:tblPr>
      <w:tblStyleRowBandSize w:val="1"/>
      <w:tblStyleColBandSize w:val="1"/>
      <w:tblCellMar>
        <w:top w:w="100.0" w:type="dxa"/>
        <w:left w:w="100.0" w:type="dxa"/>
        <w:bottom w:w="100.0" w:type="dxa"/>
        <w:right w:w="100.0" w:type="dxa"/>
      </w:tblCellMar>
    </w:tblPr>
  </w:style>
  <w:style w:type="table" w:styleId="afff" w:customStyle="1">
    <w:basedOn w:val="TableNormal1"/>
    <w:tblPr>
      <w:tblStyleRowBandSize w:val="1"/>
      <w:tblStyleColBandSize w:val="1"/>
      <w:tblCellMar>
        <w:top w:w="100.0" w:type="dxa"/>
        <w:left w:w="100.0" w:type="dxa"/>
        <w:bottom w:w="100.0" w:type="dxa"/>
        <w:right w:w="100.0" w:type="dxa"/>
      </w:tblCellMar>
    </w:tblPr>
  </w:style>
  <w:style w:type="table" w:styleId="afff0" w:customStyle="1">
    <w:basedOn w:val="TableNormal1"/>
    <w:tblPr>
      <w:tblStyleRowBandSize w:val="1"/>
      <w:tblStyleColBandSize w:val="1"/>
      <w:tblCellMar>
        <w:top w:w="100.0" w:type="dxa"/>
        <w:left w:w="100.0" w:type="dxa"/>
        <w:bottom w:w="100.0" w:type="dxa"/>
        <w:right w:w="100.0" w:type="dxa"/>
      </w:tblCellMar>
    </w:tblPr>
  </w:style>
  <w:style w:type="table" w:styleId="afff1" w:customStyle="1">
    <w:basedOn w:val="TableNormal1"/>
    <w:tblPr>
      <w:tblStyleRowBandSize w:val="1"/>
      <w:tblStyleColBandSize w:val="1"/>
      <w:tblCellMar>
        <w:top w:w="100.0" w:type="dxa"/>
        <w:left w:w="100.0" w:type="dxa"/>
        <w:bottom w:w="100.0" w:type="dxa"/>
        <w:right w:w="100.0" w:type="dxa"/>
      </w:tblCellMar>
    </w:tblPr>
  </w:style>
  <w:style w:type="table" w:styleId="afff2" w:customStyle="1">
    <w:basedOn w:val="TableNormal1"/>
    <w:tblPr>
      <w:tblStyleRowBandSize w:val="1"/>
      <w:tblStyleColBandSize w:val="1"/>
      <w:tblCellMar>
        <w:top w:w="100.0" w:type="dxa"/>
        <w:left w:w="100.0" w:type="dxa"/>
        <w:bottom w:w="100.0" w:type="dxa"/>
        <w:right w:w="100.0" w:type="dxa"/>
      </w:tblCellMar>
    </w:tblPr>
  </w:style>
  <w:style w:type="table" w:styleId="afff3" w:customStyle="1">
    <w:basedOn w:val="TableNormal1"/>
    <w:tblPr>
      <w:tblStyleRowBandSize w:val="1"/>
      <w:tblStyleColBandSize w:val="1"/>
      <w:tblCellMar>
        <w:top w:w="100.0" w:type="dxa"/>
        <w:left w:w="100.0" w:type="dxa"/>
        <w:bottom w:w="100.0" w:type="dxa"/>
        <w:right w:w="100.0" w:type="dxa"/>
      </w:tblCellMar>
    </w:tblPr>
  </w:style>
  <w:style w:type="table" w:styleId="afff4" w:customStyle="1">
    <w:basedOn w:val="TableNormal1"/>
    <w:tblPr>
      <w:tblStyleRowBandSize w:val="1"/>
      <w:tblStyleColBandSize w:val="1"/>
      <w:tblCellMar>
        <w:top w:w="100.0" w:type="dxa"/>
        <w:left w:w="100.0" w:type="dxa"/>
        <w:bottom w:w="100.0" w:type="dxa"/>
        <w:right w:w="100.0" w:type="dxa"/>
      </w:tblCellMar>
    </w:tblPr>
  </w:style>
  <w:style w:type="table" w:styleId="afff5" w:customStyle="1">
    <w:basedOn w:val="TableNormal1"/>
    <w:tblPr>
      <w:tblStyleRowBandSize w:val="1"/>
      <w:tblStyleColBandSize w:val="1"/>
      <w:tblCellMar>
        <w:top w:w="100.0" w:type="dxa"/>
        <w:left w:w="100.0" w:type="dxa"/>
        <w:bottom w:w="100.0" w:type="dxa"/>
        <w:right w:w="100.0" w:type="dxa"/>
      </w:tblCellMar>
    </w:tblPr>
  </w:style>
  <w:style w:type="table" w:styleId="afff6" w:customStyle="1">
    <w:basedOn w:val="TableNormal1"/>
    <w:tblPr>
      <w:tblStyleRowBandSize w:val="1"/>
      <w:tblStyleColBandSize w:val="1"/>
      <w:tblCellMar>
        <w:top w:w="100.0" w:type="dxa"/>
        <w:left w:w="100.0" w:type="dxa"/>
        <w:bottom w:w="100.0" w:type="dxa"/>
        <w:right w:w="100.0" w:type="dxa"/>
      </w:tblCellMar>
    </w:tblPr>
  </w:style>
  <w:style w:type="table" w:styleId="afff7" w:customStyle="1">
    <w:basedOn w:val="TableNormal1"/>
    <w:tblPr>
      <w:tblStyleRowBandSize w:val="1"/>
      <w:tblStyleColBandSize w:val="1"/>
      <w:tblCellMar>
        <w:top w:w="100.0" w:type="dxa"/>
        <w:left w:w="100.0" w:type="dxa"/>
        <w:bottom w:w="100.0" w:type="dxa"/>
        <w:right w:w="100.0" w:type="dxa"/>
      </w:tblCellMar>
    </w:tblPr>
  </w:style>
  <w:style w:type="table" w:styleId="afff8" w:customStyle="1">
    <w:basedOn w:val="TableNormal1"/>
    <w:tblPr>
      <w:tblStyleRowBandSize w:val="1"/>
      <w:tblStyleColBandSize w:val="1"/>
      <w:tblCellMar>
        <w:top w:w="100.0" w:type="dxa"/>
        <w:left w:w="100.0" w:type="dxa"/>
        <w:bottom w:w="100.0" w:type="dxa"/>
        <w:right w:w="100.0" w:type="dxa"/>
      </w:tblCellMar>
    </w:tblPr>
  </w:style>
  <w:style w:type="table" w:styleId="afff9" w:customStyle="1">
    <w:basedOn w:val="TableNormal1"/>
    <w:tblPr>
      <w:tblStyleRowBandSize w:val="1"/>
      <w:tblStyleColBandSize w:val="1"/>
      <w:tblCellMar>
        <w:top w:w="100.0" w:type="dxa"/>
        <w:left w:w="100.0" w:type="dxa"/>
        <w:bottom w:w="100.0" w:type="dxa"/>
        <w:right w:w="100.0" w:type="dxa"/>
      </w:tblCellMar>
    </w:tblPr>
  </w:style>
  <w:style w:type="table" w:styleId="afffa" w:customStyle="1">
    <w:basedOn w:val="TableNormal1"/>
    <w:tblPr>
      <w:tblStyleRowBandSize w:val="1"/>
      <w:tblStyleColBandSize w:val="1"/>
      <w:tblCellMar>
        <w:top w:w="100.0" w:type="dxa"/>
        <w:left w:w="100.0" w:type="dxa"/>
        <w:bottom w:w="100.0" w:type="dxa"/>
        <w:right w:w="100.0" w:type="dxa"/>
      </w:tblCellMar>
    </w:tblPr>
  </w:style>
  <w:style w:type="table" w:styleId="afffb" w:customStyle="1">
    <w:basedOn w:val="TableNormal1"/>
    <w:tblPr>
      <w:tblStyleRowBandSize w:val="1"/>
      <w:tblStyleColBandSize w:val="1"/>
      <w:tblCellMar>
        <w:top w:w="100.0" w:type="dxa"/>
        <w:left w:w="100.0" w:type="dxa"/>
        <w:bottom w:w="100.0" w:type="dxa"/>
        <w:right w:w="100.0" w:type="dxa"/>
      </w:tblCellMar>
    </w:tblPr>
  </w:style>
  <w:style w:type="table" w:styleId="afffc" w:customStyle="1">
    <w:basedOn w:val="TableNormal1"/>
    <w:tblPr>
      <w:tblStyleRowBandSize w:val="1"/>
      <w:tblStyleColBandSize w:val="1"/>
      <w:tblCellMar>
        <w:top w:w="100.0" w:type="dxa"/>
        <w:left w:w="100.0" w:type="dxa"/>
        <w:bottom w:w="100.0" w:type="dxa"/>
        <w:right w:w="100.0" w:type="dxa"/>
      </w:tblCellMar>
    </w:tblPr>
  </w:style>
  <w:style w:type="table" w:styleId="afffd" w:customStyle="1">
    <w:basedOn w:val="TableNormal1"/>
    <w:tblPr>
      <w:tblStyleRowBandSize w:val="1"/>
      <w:tblStyleColBandSize w:val="1"/>
      <w:tblCellMar>
        <w:top w:w="100.0" w:type="dxa"/>
        <w:left w:w="100.0" w:type="dxa"/>
        <w:bottom w:w="100.0" w:type="dxa"/>
        <w:right w:w="100.0" w:type="dxa"/>
      </w:tblCellMar>
    </w:tblPr>
  </w:style>
  <w:style w:type="table" w:styleId="afffe" w:customStyle="1">
    <w:basedOn w:val="TableNormal1"/>
    <w:tblPr>
      <w:tblStyleRowBandSize w:val="1"/>
      <w:tblStyleColBandSize w:val="1"/>
      <w:tblCellMar>
        <w:top w:w="100.0" w:type="dxa"/>
        <w:left w:w="100.0" w:type="dxa"/>
        <w:bottom w:w="100.0" w:type="dxa"/>
        <w:right w:w="100.0" w:type="dxa"/>
      </w:tblCellMar>
    </w:tblPr>
  </w:style>
  <w:style w:type="table" w:styleId="affff" w:customStyle="1">
    <w:basedOn w:val="TableNormal1"/>
    <w:tblPr>
      <w:tblStyleRowBandSize w:val="1"/>
      <w:tblStyleColBandSize w:val="1"/>
      <w:tblCellMar>
        <w:top w:w="100.0" w:type="dxa"/>
        <w:left w:w="100.0" w:type="dxa"/>
        <w:bottom w:w="100.0" w:type="dxa"/>
        <w:right w:w="100.0" w:type="dxa"/>
      </w:tblCellMar>
    </w:tblPr>
  </w:style>
  <w:style w:type="table" w:styleId="affff0" w:customStyle="1">
    <w:basedOn w:val="TableNormal1"/>
    <w:tblPr>
      <w:tblStyleRowBandSize w:val="1"/>
      <w:tblStyleColBandSize w:val="1"/>
      <w:tblCellMar>
        <w:top w:w="100.0" w:type="dxa"/>
        <w:left w:w="100.0" w:type="dxa"/>
        <w:bottom w:w="100.0" w:type="dxa"/>
        <w:right w:w="100.0" w:type="dxa"/>
      </w:tblCellMar>
    </w:tblPr>
  </w:style>
  <w:style w:type="table" w:styleId="affff1" w:customStyle="1">
    <w:basedOn w:val="TableNormal1"/>
    <w:tblPr>
      <w:tblStyleRowBandSize w:val="1"/>
      <w:tblStyleColBandSize w:val="1"/>
      <w:tblCellMar>
        <w:top w:w="100.0" w:type="dxa"/>
        <w:left w:w="100.0" w:type="dxa"/>
        <w:bottom w:w="100.0" w:type="dxa"/>
        <w:right w:w="100.0" w:type="dxa"/>
      </w:tblCellMar>
    </w:tblPr>
  </w:style>
  <w:style w:type="table" w:styleId="affff2" w:customStyle="1">
    <w:basedOn w:val="TableNormal1"/>
    <w:tblPr>
      <w:tblStyleRowBandSize w:val="1"/>
      <w:tblStyleColBandSize w:val="1"/>
      <w:tblCellMar>
        <w:top w:w="100.0" w:type="dxa"/>
        <w:left w:w="100.0" w:type="dxa"/>
        <w:bottom w:w="100.0" w:type="dxa"/>
        <w:right w:w="100.0" w:type="dxa"/>
      </w:tblCellMar>
    </w:tblPr>
  </w:style>
  <w:style w:type="table" w:styleId="affff3" w:customStyle="1">
    <w:basedOn w:val="TableNormal1"/>
    <w:tblPr>
      <w:tblStyleRowBandSize w:val="1"/>
      <w:tblStyleColBandSize w:val="1"/>
      <w:tblCellMar>
        <w:top w:w="100.0" w:type="dxa"/>
        <w:left w:w="100.0" w:type="dxa"/>
        <w:bottom w:w="100.0" w:type="dxa"/>
        <w:right w:w="100.0" w:type="dxa"/>
      </w:tblCellMar>
    </w:tblPr>
  </w:style>
  <w:style w:type="table" w:styleId="affff4" w:customStyle="1">
    <w:basedOn w:val="TableNormal1"/>
    <w:tblPr>
      <w:tblStyleRowBandSize w:val="1"/>
      <w:tblStyleColBandSize w:val="1"/>
      <w:tblCellMar>
        <w:top w:w="100.0" w:type="dxa"/>
        <w:left w:w="100.0" w:type="dxa"/>
        <w:bottom w:w="100.0" w:type="dxa"/>
        <w:right w:w="100.0" w:type="dxa"/>
      </w:tblCellMar>
    </w:tblPr>
  </w:style>
  <w:style w:type="table" w:styleId="affff5" w:customStyle="1">
    <w:basedOn w:val="TableNormal1"/>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9D5610"/>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9D5610"/>
  </w:style>
  <w:style w:type="paragraph" w:styleId="Piedepgina">
    <w:name w:val="footer"/>
    <w:basedOn w:val="Normal"/>
    <w:link w:val="PiedepginaCar"/>
    <w:uiPriority w:val="99"/>
    <w:unhideWhenUsed w:val="1"/>
    <w:rsid w:val="009D5610"/>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9D5610"/>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eulacdigitalaccelerator.com/2025/04/23/latina-tv-x-smart-protection-a-partnership-that-declares-war-on-pirated-tv-content-in-latin-america/" TargetMode="External"/><Relationship Id="rId10" Type="http://schemas.openxmlformats.org/officeDocument/2006/relationships/hyperlink" Target="https://www.smartprotection.com/"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atina.pe/" TargetMode="External"/><Relationship Id="rId15" Type="http://schemas.openxmlformats.org/officeDocument/2006/relationships/hyperlink" Target="https://eulacdigitalaccelerator.com/matching-platform/?utm_campaign=matching-platform&amp;utm_medium=media&amp;utm_source=article" TargetMode="External"/><Relationship Id="rId14" Type="http://schemas.openxmlformats.org/officeDocument/2006/relationships/hyperlink" Target="https://youtu.be/rACsdmJEBgU?si=9v1yEsnTa0sIIUll" TargetMode="External"/><Relationship Id="rId17" Type="http://schemas.openxmlformats.org/officeDocument/2006/relationships/header" Target="header1.xml"/><Relationship Id="rId16" Type="http://schemas.openxmlformats.org/officeDocument/2006/relationships/hyperlink" Target="https://eulacdigitalaccelerator.com/open-call/?utm_campaign=oc4&amp;utm_medium=ct-partners&amp;utm_source=article"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sloanreview.mit.edu/article/the-three-internal-barriers-to-deep-tech-corporate-venturing/" TargetMode="External"/><Relationship Id="rId8" Type="http://schemas.openxmlformats.org/officeDocument/2006/relationships/hyperlink" Target="https://eulacdigitalaccelerator.com/open-call/?utm_campaign=oc4&amp;utm_medium=ct-partners&amp;utm_source=artic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Ogx+5q5eWyKhrSLRJXF29PhWTA==">CgMxLjAaHwoBMBIaChgICVIUChJ0YWJsZS45ZDdzOG1rMjFzYmEaHwoBMRIaChgICVIUChJ0YWJsZS45ZDdzOG1rMjFzYmEaHwoBMhIaChgICVIUChJ0YWJsZS45ZDdzOG1rMjFzYmEyDmgudXd4bjMydGx4ZGJzOAByITFxUDlJZUJfakVzd0hlclhGaHZMX2toakIyOUh2RUZiQg==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2025-06-26T15:27:00Z</dcterms:created>
  <dc:creator>Julia Colomer Cuixeres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0x010100D31EA2C194541343A894398DBD3F0433</vt:lpwstr>
  </property>
  <property fmtid="{D5CDD505-2E9C-101B-9397-08002B2CF9AE}" pid="3" name="MediaServiceImageTags">
    <vt:lpwstr/>
  </property>
</Properties>
</file>