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​​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The EU-LAC Digital Accelerator launches open call #5 for European, Latin American and Caribbean corporate-startup partnerships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​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iCs w:val="1"/>
          <w:rtl w:val="0"/>
        </w:rPr>
        <w:t xml:space="preserve">​The EU-LAC Digital Accelerator invites business partnerships to apply to its open call #5. Partnerships must involve a corporate entity facing a digital challenge and a startup or SME developing a solution to address it.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iCs w:val="1"/>
          <w:rtl w:val="0"/>
        </w:rPr>
        <w:t xml:space="preserve">​For open call #5, the EU-LAC Digital Accelerator opens a new opportunity area: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sustainable mobility</w:t>
      </w:r>
      <w:r w:rsidDel="00000000" w:rsidR="00000000" w:rsidRPr="00000000">
        <w:rPr>
          <w:i w:val="1"/>
          <w:iCs w:val="1"/>
          <w:rtl w:val="0"/>
        </w:rPr>
        <w:t xml:space="preserve">. However, applications from all industries are welcome.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iCs w:val="1"/>
          <w:rtl w:val="0"/>
        </w:rPr>
        <w:t xml:space="preserve">​EU-LAC partnerships must include at least one corporate and one startup from two of the following regions: the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European Union</w:t>
      </w:r>
      <w:r w:rsidDel="00000000" w:rsidR="00000000" w:rsidRPr="00000000">
        <w:rPr>
          <w:i w:val="1"/>
          <w:iCs w:val="1"/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Latin America</w:t>
      </w:r>
      <w:r w:rsidDel="00000000" w:rsidR="00000000" w:rsidRPr="00000000">
        <w:rPr>
          <w:i w:val="1"/>
          <w:iCs w:val="1"/>
          <w:rtl w:val="0"/>
        </w:rPr>
        <w:t xml:space="preserve">, and the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Caribbean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 </w:t>
        <w:br w:type="textWrapping"/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iCs w:val="1"/>
          <w:rtl w:val="0"/>
        </w:rPr>
        <w:t xml:space="preserve">​Selected candidates will receive acceleration services valued at up to €30,000 (€40,000 if a Caribbean partner is involved), organised around three pillars: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proof of concept, business case, and investment and scaling</w:t>
      </w:r>
      <w:r w:rsidDel="00000000" w:rsidR="00000000" w:rsidRPr="00000000">
        <w:rPr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Corporates and startups look for each other, but don’t know how to make it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​According to the MIT Sloane Management Review, 7 out of 10 corporate-startup collaborations fail to achieve the expected results. A wide range of factors can explain this high failure rate: </w:t>
      </w:r>
      <w:r w:rsidDel="00000000" w:rsidR="00000000" w:rsidRPr="00000000">
        <w:rPr>
          <w:b w:val="1"/>
          <w:bCs w:val="1"/>
          <w:rtl w:val="0"/>
        </w:rPr>
        <w:t xml:space="preserve">misaligned cultures and objectives, limited flexibility in the corporate’s legacy systems, lack of product validation, etc.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​Through a dedicated corporate-startup acceleration programme, the EU-LAC Digital Accelerator supports international partnerships from Europe, Latin America, and the Caribbean to achieve their digital innovation goals.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​​“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Startups allow corporates to explore innovative solutions to their unsolved needs and problems. They provide unique insights that have not been considered or tested. It ultimately has a real impact on the profit and loss statement,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generating new revenue streams or saving costs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​ </w:t>
            </w:r>
          </w:p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​Miguel Rodríguez, Open Innovation Consultant, EU-LAC Digital Accelerator </w:t>
            </w:r>
          </w:p>
        </w:tc>
      </w:tr>
    </w:tbl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​​To access the acceleration programme, corporate-startup partnerships must apply to the open calls organised by the EU-LAC Digital Accelerator.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Open call #5 at a glance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color w:val="1155cc"/>
          <w:u w:val="single"/>
          <w:rtl w:val="0"/>
        </w:rPr>
        <w:t xml:space="preserve">​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Open call #5</w:t>
        </w:r>
      </w:hyperlink>
      <w:r w:rsidDel="00000000" w:rsidR="00000000" w:rsidRPr="00000000">
        <w:rPr>
          <w:rtl w:val="0"/>
        </w:rPr>
        <w:t xml:space="preserve"> for corporate-startup partnerships is open from </w:t>
      </w:r>
      <w:r w:rsidDel="00000000" w:rsidR="00000000" w:rsidRPr="00000000">
        <w:rPr>
          <w:b w:val="1"/>
          <w:bCs w:val="1"/>
          <w:rtl w:val="0"/>
        </w:rPr>
        <w:t xml:space="preserve">6 February 2026 to 12 June 2026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​Applying partnerships must include: 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tl w:val="0"/>
        </w:rPr>
        <w:t xml:space="preserve">​A corporate facing a product or process-related challenge.  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</w:pPr>
      <w:r w:rsidDel="00000000" w:rsidR="00000000" w:rsidRPr="00000000">
        <w:rPr>
          <w:rtl w:val="0"/>
        </w:rPr>
        <w:t xml:space="preserve">A​ startup or SME providing a digital solution to this challenge.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​​​Applying partnerships must be located in distinct regions (either the European Union, Latin America, or the Caribbean). ​For example, a Caribbean startup can only apply alongside a European or Latin American corporate entity.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​To help corporates and startups without a partner find an innovation partner, the EU-LAC Digital Accelerator has launched a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matching platform</w:t>
        </w:r>
      </w:hyperlink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​With over 40 corporate challenges and close to 1,900 startups willing to bring their digital expertise, the matching platform has grown into a robust marketplace where corporates and startups can connect and agree on a partnership before applying together to the open call.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Once selected, partnerships will receive tailored acceleration services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​Taking a close look at the common challenges corporates and startups face when they work together, the EU-LAC Digital Accelerator designed a 6-month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acceleration programme with a dozen acceleration services around three pillars: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​Proof of concept</w:t>
      </w:r>
      <w:r w:rsidDel="00000000" w:rsidR="00000000" w:rsidRPr="00000000">
        <w:rPr>
          <w:rtl w:val="0"/>
        </w:rPr>
        <w:t xml:space="preserve">: Validate the tech feasibility of the solution and ensure it answers a real need.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​Business case</w:t>
      </w:r>
      <w:r w:rsidDel="00000000" w:rsidR="00000000" w:rsidRPr="00000000">
        <w:rPr>
          <w:rtl w:val="0"/>
        </w:rPr>
        <w:t xml:space="preserve">: Build a business model that generates revenue and establish a winning international global expansion strategy. 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​Investment &amp; Scaling</w:t>
      </w:r>
      <w:r w:rsidDel="00000000" w:rsidR="00000000" w:rsidRPr="00000000">
        <w:rPr>
          <w:rtl w:val="0"/>
        </w:rPr>
        <w:t xml:space="preserve">: Produce and sell at scale, and position the partnership to attract investment to improve the newly built solution.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In a matter of months, through a supervised collaboration process, corporate-startup partnerships can </w:t>
      </w:r>
      <w:r w:rsidDel="00000000" w:rsidR="00000000" w:rsidRPr="00000000">
        <w:rPr>
          <w:b w:val="1"/>
          <w:bCs w:val="1"/>
          <w:rtl w:val="0"/>
        </w:rPr>
        <w:t xml:space="preserve">bring a solution closer to commercialisation</w:t>
      </w:r>
      <w:r w:rsidDel="00000000" w:rsidR="00000000" w:rsidRPr="00000000">
        <w:rPr>
          <w:rtl w:val="0"/>
        </w:rPr>
        <w:t xml:space="preserve">, whereas without supervision, such a process can take years and offer a lower likelihood of success.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Up to €10,500 in grants for startups to support proof-of-concept development and execution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​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A proof of concept is an essential line on a startup’s resume for long-term collaboration with corporates.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It validates technical feasibility before investing further into a prototype and, at a later stage, an MVP.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The proof-of-concept service is the most popular offering for corporate-startup partnerships. For this reason, the EU-LAC Digital Accelerator unlocked grants of up to </w:t>
      </w:r>
      <w:r w:rsidDel="00000000" w:rsidR="00000000" w:rsidRPr="00000000">
        <w:rPr>
          <w:b w:val="1"/>
          <w:bCs w:val="1"/>
          <w:rtl w:val="0"/>
        </w:rPr>
        <w:t xml:space="preserve">€10,500 per startup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​€7,000 for proof-of-concept development.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​Up to €2,000 to travel to the corporate’s premises to run a proof of concept experiment. 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​Up to €1,500 to transport the necessary equipment to test the solution.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​Startups can check their eligibility and apply for the grant by contacting their assigned mentor at the beginning of the programme.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​The EU-LAC Digital Accelerator has already onboarded 45 corporate-startup partnerships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‘’We applied because the EU-LAC programme provides the right framework to validate our technology in real regional contexts, while enabling us to advance our PoC in a structured, focused, and impact-driven way.’’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righ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Morten Wolter, CEO at Wimesa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More than 45 corporate-startup partnerships have either completed the acceleration programme or are currently participating in it. Interested corporates and startups can review the product and market impact delivered by the EU-LAC Digital Accelerator, with more than 20 case studies published on the accelerator's website under the </w:t>
      </w:r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Success stories page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Partnerships can submit their application form in 10 minutes via the </w:t>
      </w:r>
      <w:hyperlink r:id="rId10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open call page</w:t>
        </w:r>
      </w:hyperlink>
      <w:r w:rsidDel="00000000" w:rsidR="00000000" w:rsidRPr="00000000">
        <w:rPr>
          <w:rtl w:val="0"/>
        </w:rPr>
        <w:t xml:space="preserve">, where they can also download the </w:t>
      </w:r>
      <w:r w:rsidDel="00000000" w:rsidR="00000000" w:rsidRPr="00000000">
        <w:rPr>
          <w:b w:val="1"/>
          <w:bCs w:val="1"/>
          <w:rtl w:val="0"/>
        </w:rPr>
        <w:t xml:space="preserve">“Guidelines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Applicants,”</w:t>
      </w:r>
      <w:r w:rsidDel="00000000" w:rsidR="00000000" w:rsidRPr="00000000">
        <w:rPr>
          <w:rtl w:val="0"/>
        </w:rPr>
        <w:t xml:space="preserve"> which detail, in particular, eligibility requirements and evaluation criteria.</w:t>
      </w:r>
    </w:p>
    <w:p w:rsidR="00000000" w:rsidDel="00000000" w:rsidP="00000000" w:rsidRDefault="00000000" w:rsidRPr="00000000" w14:paraId="0000004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For more information, </w:t>
      </w: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contact</w:t>
        </w:r>
      </w:hyperlink>
      <w:r w:rsidDel="00000000" w:rsidR="00000000" w:rsidRPr="00000000">
        <w:rPr>
          <w:rtl w:val="0"/>
        </w:rPr>
        <w:t xml:space="preserve"> the EU-LAC Digital Accelerator team.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​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</w:t>
            </w:r>
            <w:r w:rsidDel="00000000" w:rsidR="00000000" w:rsidRPr="00000000">
              <w:rPr>
                <w:rtl w:val="0"/>
              </w:rPr>
              <w:t xml:space="preserve">​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Open call #5 summary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​Purpose of the EU-LAC Digital Accelerator: </w:t>
            </w:r>
            <w:r w:rsidDel="00000000" w:rsidR="00000000" w:rsidRPr="00000000">
              <w:rPr>
                <w:rtl w:val="0"/>
              </w:rPr>
              <w:t xml:space="preserve">Support corporate-startup partnerships from the European Union, Latin America, and the Caribbean to build a digital product or service and bring it close to commercialisation.  </w:t>
              <w:br w:type="textWrapping"/>
              <w:t xml:space="preserve">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​Application period: </w:t>
            </w:r>
            <w:r w:rsidDel="00000000" w:rsidR="00000000" w:rsidRPr="00000000">
              <w:rPr>
                <w:rtl w:val="0"/>
              </w:rPr>
              <w:t xml:space="preserve">6 February 2026 - 12 June 2025. </w:t>
              <w:br w:type="textWrapping"/>
              <w:t xml:space="preserve">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​Main eligibility criteria: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1) At least two applicants per application. </w:t>
              <w:br w:type="textWrapping"/>
              <w:t xml:space="preserve">2) At least one corporate and one startup per application. </w:t>
              <w:br w:type="textWrapping"/>
              <w:t xml:space="preserve">3) Applying corporates and startups must be from at least two of these three regions: EU, Latin America, Caribbean (applying corporates and startups cannot be from the same region). 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​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​Matching platform</w:t>
              </w:r>
            </w:hyperlink>
            <w:r w:rsidDel="00000000" w:rsidR="00000000" w:rsidRPr="00000000">
              <w:rPr>
                <w:rtl w:val="0"/>
              </w:rPr>
              <w:t xml:space="preserve">: For corporates and startups who want to find a partner before applying to the open call and accessing the acceleration services. </w:t>
              <w:br w:type="textWrapping"/>
              <w:t xml:space="preserve"> 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​EU-LAC Digital Accelerator services: </w:t>
            </w:r>
            <w:r w:rsidDel="00000000" w:rsidR="00000000" w:rsidRPr="00000000">
              <w:rPr>
                <w:rtl w:val="0"/>
              </w:rPr>
              <w:t xml:space="preserve"> </w:t>
              <w:br w:type="textWrapping"/>
              <w:t xml:space="preserve">-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Proof-of-concept</w:t>
            </w:r>
            <w:r w:rsidDel="00000000" w:rsidR="00000000" w:rsidRPr="00000000">
              <w:rPr>
                <w:rtl w:val="0"/>
              </w:rPr>
              <w:t xml:space="preserve"> phase: Open Innovation bootcamps, Corporate Venturing capabilities, PoC Design &amp; Prototyping, Reliability of AI solutions. </w:t>
              <w:br w:type="textWrapping"/>
              <w:t xml:space="preserve">-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Business case</w:t>
            </w:r>
            <w:r w:rsidDel="00000000" w:rsidR="00000000" w:rsidRPr="00000000">
              <w:rPr>
                <w:rtl w:val="0"/>
              </w:rPr>
              <w:t xml:space="preserve"> phase: Business model design, International growth and soft-landing, IP Management, Product roadmap &amp; digital skills. </w:t>
              <w:br w:type="textWrapping"/>
              <w:t xml:space="preserve">-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Investment &amp; Scaling</w:t>
            </w:r>
            <w:r w:rsidDel="00000000" w:rsidR="00000000" w:rsidRPr="00000000">
              <w:rPr>
                <w:rtl w:val="0"/>
              </w:rPr>
              <w:t xml:space="preserve"> phase: Scaling into corporate structures, Full process digitalisation, Investment Readiness &amp; Matchmaking, Access to public funding. </w:t>
              <w:br w:type="textWrapping"/>
              <w:t xml:space="preserve">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​EU-LAC Digital Accelerator grants: </w:t>
            </w:r>
            <w:r w:rsidDel="00000000" w:rsidR="00000000" w:rsidRPr="00000000">
              <w:rPr>
                <w:rtl w:val="0"/>
              </w:rPr>
              <w:t xml:space="preserve">Up to €10,500 for selected startups for proof-of-concept development and execution at the corporate’s premises.</w:t>
              <w:br w:type="textWrapping"/>
              <w:t xml:space="preserve">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ind w:left="108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1155cc"/>
                <w:u w:val="single"/>
                <w:rtl w:val="0"/>
              </w:rPr>
              <w:t xml:space="preserve">​</w:t>
            </w:r>
            <w:hyperlink r:id="rId13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Application form</w:t>
              </w:r>
            </w:hyperlink>
            <w:r w:rsidDel="00000000" w:rsidR="00000000" w:rsidRPr="00000000">
              <w:rPr>
                <w:rtl w:val="0"/>
              </w:rPr>
              <w:t xml:space="preserve">: Review all open call details and guidelines, then apply.</w:t>
            </w:r>
          </w:p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  <w:t xml:space="preserve">     </w:t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Average duration.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lacdigitalaccelerator.com/contact/" TargetMode="External"/><Relationship Id="rId10" Type="http://schemas.openxmlformats.org/officeDocument/2006/relationships/hyperlink" Target="https://eulacdigitalaccelerator.com/open-call/?utm_campaign=oc5&amp;utm_medium=ct-partners&amp;utm_source=article" TargetMode="External"/><Relationship Id="rId13" Type="http://schemas.openxmlformats.org/officeDocument/2006/relationships/hyperlink" Target="https://eulacdigitalaccelerator.com/open-call/?utm_campaign=oc5&amp;utm_medium=ct-partners&amp;utm_source=article" TargetMode="External"/><Relationship Id="rId12" Type="http://schemas.openxmlformats.org/officeDocument/2006/relationships/hyperlink" Target="https://eulacdigitalaccelerator.com/matching-platform/?utm_campaign=matching-platform&amp;utm_medium=ct-partners&amp;utm_source=artic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ulacdigitalaccelerator.com/category/success-stories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eulacdigitalaccelerator.com/open-call/?utm_campaign=oc5&amp;utm_medium=ct-partners&amp;utm_source=article" TargetMode="External"/><Relationship Id="rId8" Type="http://schemas.openxmlformats.org/officeDocument/2006/relationships/hyperlink" Target="https://eulacdigitalaccelerator.com/matching-platform/?utm_campaign=matching-platform&amp;utm_medium=ct-partners&amp;utm_source=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